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C36" w:rsidRDefault="00A72606" w:rsidP="00934C36">
      <w:pPr>
        <w:jc w:val="center"/>
        <w:rPr>
          <w:b/>
          <w:sz w:val="30"/>
          <w:szCs w:val="30"/>
        </w:rPr>
      </w:pPr>
      <w:r>
        <w:rPr>
          <w:b/>
          <w:noProof/>
          <w:sz w:val="30"/>
          <w:szCs w:val="30"/>
          <w:lang w:eastAsia="el-GR"/>
        </w:rPr>
        <w:drawing>
          <wp:inline distT="0" distB="0" distL="0" distR="0">
            <wp:extent cx="5274310" cy="895350"/>
            <wp:effectExtent l="19050" t="0" r="254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74310" cy="895350"/>
                    </a:xfrm>
                    <a:prstGeom prst="rect">
                      <a:avLst/>
                    </a:prstGeom>
                    <a:noFill/>
                    <a:ln w="9525">
                      <a:noFill/>
                      <a:miter lim="800000"/>
                      <a:headEnd/>
                      <a:tailEnd/>
                    </a:ln>
                  </pic:spPr>
                </pic:pic>
              </a:graphicData>
            </a:graphic>
          </wp:inline>
        </w:drawing>
      </w:r>
    </w:p>
    <w:p w:rsidR="00764AF7" w:rsidRPr="00A72606" w:rsidRDefault="00A72606" w:rsidP="00764AF7">
      <w:pPr>
        <w:spacing w:after="0" w:line="360" w:lineRule="atLeast"/>
        <w:ind w:left="-567"/>
        <w:jc w:val="center"/>
        <w:rPr>
          <w:b/>
          <w:sz w:val="24"/>
          <w:szCs w:val="24"/>
        </w:rPr>
      </w:pPr>
      <w:r w:rsidRPr="00A72606">
        <w:rPr>
          <w:b/>
          <w:sz w:val="24"/>
          <w:szCs w:val="24"/>
        </w:rPr>
        <w:t xml:space="preserve">       </w:t>
      </w:r>
      <w:r w:rsidR="00764AF7" w:rsidRPr="00A72606">
        <w:rPr>
          <w:b/>
          <w:sz w:val="24"/>
          <w:szCs w:val="24"/>
        </w:rPr>
        <w:t xml:space="preserve">ΠΕΤΡΑΚΗ 16  Τ.Κ. 105 63 - ΑΘΗΝΑ  ΤΗΛ: 210.32.59.170  FAX: 210.32.59.229                                                      </w:t>
      </w:r>
    </w:p>
    <w:p w:rsidR="00A72606" w:rsidRPr="00A72606" w:rsidRDefault="00A72606" w:rsidP="00A72606">
      <w:pPr>
        <w:pStyle w:val="Default"/>
        <w:rPr>
          <w:rFonts w:asciiTheme="minorHAnsi" w:hAnsiTheme="minorHAnsi" w:cstheme="minorBidi"/>
          <w:b/>
          <w:color w:val="auto"/>
        </w:rPr>
      </w:pPr>
    </w:p>
    <w:p w:rsidR="00A72606" w:rsidRPr="00A72606" w:rsidRDefault="00A72606" w:rsidP="00A72606">
      <w:pPr>
        <w:pStyle w:val="Default"/>
        <w:jc w:val="center"/>
        <w:rPr>
          <w:rFonts w:asciiTheme="minorHAnsi" w:hAnsiTheme="minorHAnsi" w:cstheme="minorBidi"/>
          <w:b/>
          <w:color w:val="auto"/>
          <w:sz w:val="28"/>
          <w:szCs w:val="28"/>
        </w:rPr>
      </w:pPr>
      <w:r w:rsidRPr="00A72606">
        <w:rPr>
          <w:rFonts w:asciiTheme="minorHAnsi" w:hAnsiTheme="minorHAnsi" w:cstheme="minorBidi"/>
          <w:b/>
          <w:color w:val="auto"/>
          <w:sz w:val="28"/>
          <w:szCs w:val="28"/>
        </w:rPr>
        <w:t xml:space="preserve"> Υπόμνημα θέσεων ΕΣΕΕ </w:t>
      </w:r>
    </w:p>
    <w:p w:rsidR="00A72606" w:rsidRPr="00A72606" w:rsidRDefault="00A72606" w:rsidP="00A72606">
      <w:pPr>
        <w:pStyle w:val="Default"/>
        <w:jc w:val="center"/>
        <w:rPr>
          <w:rFonts w:asciiTheme="minorHAnsi" w:hAnsiTheme="minorHAnsi" w:cstheme="minorBidi"/>
          <w:b/>
          <w:color w:val="auto"/>
          <w:sz w:val="28"/>
          <w:szCs w:val="28"/>
        </w:rPr>
      </w:pPr>
      <w:r w:rsidRPr="00A72606">
        <w:rPr>
          <w:rFonts w:asciiTheme="minorHAnsi" w:hAnsiTheme="minorHAnsi" w:cstheme="minorBidi"/>
          <w:b/>
          <w:color w:val="auto"/>
          <w:sz w:val="28"/>
          <w:szCs w:val="28"/>
        </w:rPr>
        <w:t xml:space="preserve">προς τον </w:t>
      </w:r>
    </w:p>
    <w:p w:rsidR="00A72606" w:rsidRPr="00A72606" w:rsidRDefault="00A72606" w:rsidP="00A72606">
      <w:pPr>
        <w:pStyle w:val="Default"/>
        <w:jc w:val="center"/>
        <w:rPr>
          <w:rFonts w:asciiTheme="minorHAnsi" w:hAnsiTheme="minorHAnsi" w:cstheme="minorBidi"/>
          <w:b/>
          <w:color w:val="auto"/>
          <w:sz w:val="28"/>
          <w:szCs w:val="28"/>
        </w:rPr>
      </w:pPr>
      <w:r w:rsidRPr="00A72606">
        <w:rPr>
          <w:rFonts w:asciiTheme="minorHAnsi" w:hAnsiTheme="minorHAnsi" w:cstheme="minorBidi"/>
          <w:b/>
          <w:color w:val="auto"/>
          <w:sz w:val="28"/>
          <w:szCs w:val="28"/>
        </w:rPr>
        <w:t xml:space="preserve">Υπουργό </w:t>
      </w:r>
      <w:r w:rsidR="00D95089">
        <w:rPr>
          <w:rFonts w:asciiTheme="minorHAnsi" w:hAnsiTheme="minorHAnsi" w:cstheme="minorBidi"/>
          <w:b/>
          <w:color w:val="auto"/>
          <w:sz w:val="28"/>
          <w:szCs w:val="28"/>
        </w:rPr>
        <w:t>Εργασίας &amp; Κοινωνικής Αλληλεγγύης</w:t>
      </w:r>
      <w:r w:rsidRPr="00A72606">
        <w:rPr>
          <w:rFonts w:asciiTheme="minorHAnsi" w:hAnsiTheme="minorHAnsi" w:cstheme="minorBidi"/>
          <w:b/>
          <w:color w:val="auto"/>
          <w:sz w:val="28"/>
          <w:szCs w:val="28"/>
        </w:rPr>
        <w:t xml:space="preserve"> </w:t>
      </w:r>
    </w:p>
    <w:p w:rsidR="00A72606" w:rsidRPr="00A72606" w:rsidRDefault="00A72606" w:rsidP="00A72606">
      <w:pPr>
        <w:pStyle w:val="Default"/>
        <w:jc w:val="center"/>
        <w:rPr>
          <w:rFonts w:asciiTheme="minorHAnsi" w:hAnsiTheme="minorHAnsi" w:cstheme="minorBidi"/>
          <w:b/>
          <w:color w:val="auto"/>
          <w:sz w:val="28"/>
          <w:szCs w:val="28"/>
        </w:rPr>
      </w:pPr>
      <w:r w:rsidRPr="00A72606">
        <w:rPr>
          <w:rFonts w:asciiTheme="minorHAnsi" w:hAnsiTheme="minorHAnsi" w:cstheme="minorBidi"/>
          <w:b/>
          <w:color w:val="auto"/>
          <w:sz w:val="28"/>
          <w:szCs w:val="28"/>
        </w:rPr>
        <w:t xml:space="preserve">κ. </w:t>
      </w:r>
      <w:r w:rsidR="00D95089">
        <w:rPr>
          <w:rFonts w:asciiTheme="minorHAnsi" w:hAnsiTheme="minorHAnsi" w:cstheme="minorBidi"/>
          <w:b/>
          <w:color w:val="auto"/>
          <w:sz w:val="28"/>
          <w:szCs w:val="28"/>
        </w:rPr>
        <w:t>Πάνο Σκουρλέτη</w:t>
      </w:r>
    </w:p>
    <w:p w:rsidR="00A72606" w:rsidRPr="00A72606" w:rsidRDefault="00A72606" w:rsidP="00A72606">
      <w:pPr>
        <w:pStyle w:val="Default"/>
        <w:jc w:val="center"/>
        <w:rPr>
          <w:rFonts w:asciiTheme="minorHAnsi" w:hAnsiTheme="minorHAnsi" w:cstheme="minorBidi"/>
          <w:b/>
          <w:color w:val="auto"/>
        </w:rPr>
      </w:pPr>
      <w:r w:rsidRPr="00A72606">
        <w:rPr>
          <w:rFonts w:asciiTheme="minorHAnsi" w:hAnsiTheme="minorHAnsi" w:cstheme="minorBidi"/>
          <w:b/>
          <w:color w:val="auto"/>
        </w:rPr>
        <w:t xml:space="preserve"> </w:t>
      </w:r>
    </w:p>
    <w:p w:rsidR="00764AF7" w:rsidRPr="00A72606" w:rsidRDefault="00A72606" w:rsidP="00A72606">
      <w:pPr>
        <w:spacing w:after="0" w:line="360" w:lineRule="atLeast"/>
        <w:jc w:val="center"/>
        <w:rPr>
          <w:b/>
          <w:sz w:val="24"/>
          <w:szCs w:val="24"/>
        </w:rPr>
      </w:pPr>
      <w:r w:rsidRPr="00A72606">
        <w:rPr>
          <w:b/>
          <w:sz w:val="24"/>
          <w:szCs w:val="24"/>
        </w:rPr>
        <w:t xml:space="preserve">για </w:t>
      </w:r>
      <w:r>
        <w:rPr>
          <w:b/>
          <w:sz w:val="24"/>
          <w:szCs w:val="24"/>
        </w:rPr>
        <w:t>την υφιστάμενη κατάσταση του ΟΑΕΕ</w:t>
      </w:r>
    </w:p>
    <w:p w:rsidR="00A72606" w:rsidRPr="00A72606" w:rsidRDefault="00A72606" w:rsidP="00A72606">
      <w:pPr>
        <w:spacing w:after="0" w:line="360" w:lineRule="atLeast"/>
        <w:jc w:val="center"/>
        <w:rPr>
          <w:rFonts w:ascii="Calibri" w:hAnsi="Calibri" w:cs="Calibri"/>
          <w:b/>
          <w:i/>
          <w:color w:val="000000"/>
          <w:sz w:val="30"/>
          <w:szCs w:val="30"/>
        </w:rPr>
      </w:pPr>
    </w:p>
    <w:p w:rsidR="00A72606" w:rsidRPr="00A72606" w:rsidRDefault="00A72606" w:rsidP="00B31422">
      <w:pPr>
        <w:spacing w:after="0" w:line="360" w:lineRule="atLeast"/>
        <w:jc w:val="both"/>
        <w:rPr>
          <w:sz w:val="24"/>
          <w:szCs w:val="24"/>
        </w:rPr>
      </w:pPr>
    </w:p>
    <w:p w:rsidR="00A72606" w:rsidRDefault="00A451D0" w:rsidP="007C001D">
      <w:pPr>
        <w:spacing w:after="0" w:line="360" w:lineRule="atLeast"/>
        <w:jc w:val="both"/>
        <w:rPr>
          <w:sz w:val="24"/>
          <w:szCs w:val="24"/>
        </w:rPr>
      </w:pPr>
      <w:r w:rsidRPr="00A451D0">
        <w:rPr>
          <w:sz w:val="24"/>
          <w:szCs w:val="24"/>
        </w:rPr>
        <w:t xml:space="preserve">Η </w:t>
      </w:r>
      <w:r>
        <w:rPr>
          <w:sz w:val="24"/>
          <w:szCs w:val="24"/>
        </w:rPr>
        <w:t xml:space="preserve">Ελληνική Συνομοσπονδία Εμπορίου &amp; Επιχειρηματικότητας έχοντας πλήρη επίγνωση της δεινής οικονομικής κατάστασης στην οποία έχει περιέλθει ο ΟΑΕΕ, προσπαθεί να αποτυπώσει με τον πιο </w:t>
      </w:r>
      <w:r w:rsidRPr="002071DC">
        <w:rPr>
          <w:sz w:val="24"/>
          <w:szCs w:val="24"/>
        </w:rPr>
        <w:t>γλαφυρό</w:t>
      </w:r>
      <w:r>
        <w:rPr>
          <w:sz w:val="24"/>
          <w:szCs w:val="24"/>
        </w:rPr>
        <w:t xml:space="preserve"> τρόπο τις κύριες παραμέτρους του προβλήματος  και τα βασικά αίτια διόγκωσής του</w:t>
      </w:r>
      <w:r w:rsidR="00B31422">
        <w:rPr>
          <w:sz w:val="24"/>
          <w:szCs w:val="24"/>
        </w:rPr>
        <w:t xml:space="preserve"> κατά τη διάρκεια των τελευταίων ετών</w:t>
      </w:r>
      <w:r>
        <w:rPr>
          <w:sz w:val="24"/>
          <w:szCs w:val="24"/>
        </w:rPr>
        <w:t xml:space="preserve">. </w:t>
      </w:r>
      <w:r w:rsidR="007C001D">
        <w:rPr>
          <w:sz w:val="24"/>
          <w:szCs w:val="24"/>
        </w:rPr>
        <w:t>Χωρίς αμφιβολία, η</w:t>
      </w:r>
      <w:r w:rsidR="007C001D" w:rsidRPr="007C001D">
        <w:rPr>
          <w:sz w:val="24"/>
          <w:szCs w:val="24"/>
        </w:rPr>
        <w:t xml:space="preserve"> εξαετής ύφεση και η βαριά οικονομική δυσπραγία έχουν αφήσει ανεξίτηλο το στίγμα τους στον κλάδο </w:t>
      </w:r>
      <w:r w:rsidR="007C001D">
        <w:rPr>
          <w:sz w:val="24"/>
          <w:szCs w:val="24"/>
        </w:rPr>
        <w:t>της μικρομεσαίας επιχειρηματικότητας</w:t>
      </w:r>
      <w:r w:rsidR="007C001D" w:rsidRPr="007C001D">
        <w:rPr>
          <w:sz w:val="24"/>
          <w:szCs w:val="24"/>
        </w:rPr>
        <w:t xml:space="preserve">, με τα λουκέτα να συνιστούν σύνηθες πλέον φαινόμενο και τις λειτουργούσες ακόμα επιχειρήσεις να επιδίδονται σε έναν αγώνα καθημερινής επιβίωσης. </w:t>
      </w:r>
    </w:p>
    <w:p w:rsidR="007C001D" w:rsidRDefault="007C001D" w:rsidP="007C001D">
      <w:pPr>
        <w:spacing w:after="0" w:line="360" w:lineRule="atLeast"/>
        <w:jc w:val="both"/>
        <w:rPr>
          <w:sz w:val="24"/>
          <w:szCs w:val="24"/>
        </w:rPr>
      </w:pPr>
    </w:p>
    <w:p w:rsidR="007C001D" w:rsidRPr="007C001D" w:rsidRDefault="00F64D19" w:rsidP="007C001D">
      <w:pPr>
        <w:spacing w:after="0" w:line="360" w:lineRule="atLeast"/>
        <w:jc w:val="both"/>
        <w:rPr>
          <w:sz w:val="24"/>
          <w:szCs w:val="24"/>
        </w:rPr>
      </w:pPr>
      <w:r>
        <w:rPr>
          <w:sz w:val="24"/>
          <w:szCs w:val="24"/>
        </w:rPr>
        <w:t>Η  π</w:t>
      </w:r>
      <w:r w:rsidR="00A451D0" w:rsidRPr="007C001D">
        <w:rPr>
          <w:sz w:val="24"/>
          <w:szCs w:val="24"/>
        </w:rPr>
        <w:t>αράθεση οικονομικών στοιχείων κα</w:t>
      </w:r>
      <w:r w:rsidR="00AE1AD7" w:rsidRPr="007C001D">
        <w:rPr>
          <w:sz w:val="24"/>
          <w:szCs w:val="24"/>
        </w:rPr>
        <w:t>ι</w:t>
      </w:r>
      <w:r w:rsidR="00A451D0" w:rsidRPr="007C001D">
        <w:rPr>
          <w:sz w:val="24"/>
          <w:szCs w:val="24"/>
        </w:rPr>
        <w:t xml:space="preserve"> μεταβλητών</w:t>
      </w:r>
      <w:r w:rsidR="00B31422" w:rsidRPr="007C001D">
        <w:rPr>
          <w:sz w:val="24"/>
          <w:szCs w:val="24"/>
        </w:rPr>
        <w:t xml:space="preserve"> </w:t>
      </w:r>
      <w:r w:rsidR="00B31422" w:rsidRPr="00E600C5">
        <w:rPr>
          <w:sz w:val="24"/>
          <w:szCs w:val="24"/>
        </w:rPr>
        <w:t>που ακολουθεί</w:t>
      </w:r>
      <w:r w:rsidR="00B31422" w:rsidRPr="007C001D">
        <w:rPr>
          <w:sz w:val="24"/>
          <w:szCs w:val="24"/>
        </w:rPr>
        <w:t xml:space="preserve">,  </w:t>
      </w:r>
      <w:r w:rsidR="00D827C1">
        <w:rPr>
          <w:sz w:val="24"/>
          <w:szCs w:val="24"/>
        </w:rPr>
        <w:t>αποσκοπεί</w:t>
      </w:r>
      <w:r w:rsidR="007C001D" w:rsidRPr="007C001D">
        <w:rPr>
          <w:sz w:val="24"/>
          <w:szCs w:val="24"/>
        </w:rPr>
        <w:t xml:space="preserve"> </w:t>
      </w:r>
      <w:r w:rsidR="00D827C1">
        <w:rPr>
          <w:sz w:val="24"/>
          <w:szCs w:val="24"/>
        </w:rPr>
        <w:t>στη συνοπτική παρουσίαση</w:t>
      </w:r>
      <w:r w:rsidR="007C001D" w:rsidRPr="007C001D">
        <w:rPr>
          <w:sz w:val="24"/>
          <w:szCs w:val="24"/>
        </w:rPr>
        <w:t xml:space="preserve"> της υφιστάμενης κατάστασης του ΟΑΕΕ</w:t>
      </w:r>
      <w:r>
        <w:rPr>
          <w:sz w:val="24"/>
          <w:szCs w:val="24"/>
        </w:rPr>
        <w:t>, ενώ</w:t>
      </w:r>
      <w:r w:rsidR="007C001D" w:rsidRPr="007C001D">
        <w:rPr>
          <w:sz w:val="24"/>
          <w:szCs w:val="24"/>
        </w:rPr>
        <w:t xml:space="preserve"> </w:t>
      </w:r>
      <w:r>
        <w:rPr>
          <w:sz w:val="24"/>
          <w:szCs w:val="24"/>
        </w:rPr>
        <w:t xml:space="preserve">η </w:t>
      </w:r>
      <w:r w:rsidR="00E600C5">
        <w:rPr>
          <w:sz w:val="24"/>
          <w:szCs w:val="24"/>
        </w:rPr>
        <w:t xml:space="preserve">ενδελεχής </w:t>
      </w:r>
      <w:r>
        <w:rPr>
          <w:sz w:val="24"/>
          <w:szCs w:val="24"/>
        </w:rPr>
        <w:t>ανάλυση</w:t>
      </w:r>
      <w:r w:rsidR="00E600C5">
        <w:rPr>
          <w:sz w:val="24"/>
          <w:szCs w:val="24"/>
        </w:rPr>
        <w:t xml:space="preserve"> και υιοθέτηση εκ μέρους των αρμόδιων υπηρεσιών </w:t>
      </w:r>
      <w:r>
        <w:rPr>
          <w:sz w:val="24"/>
          <w:szCs w:val="24"/>
        </w:rPr>
        <w:t xml:space="preserve"> των </w:t>
      </w:r>
      <w:r w:rsidR="007C001D" w:rsidRPr="007C001D">
        <w:rPr>
          <w:sz w:val="24"/>
          <w:szCs w:val="24"/>
        </w:rPr>
        <w:t xml:space="preserve"> </w:t>
      </w:r>
      <w:r w:rsidR="00E600C5">
        <w:rPr>
          <w:sz w:val="24"/>
          <w:szCs w:val="24"/>
        </w:rPr>
        <w:t>προσφάτως κατατεθειμένων</w:t>
      </w:r>
      <w:r>
        <w:rPr>
          <w:sz w:val="24"/>
          <w:szCs w:val="24"/>
        </w:rPr>
        <w:t xml:space="preserve"> θέσεων</w:t>
      </w:r>
      <w:r w:rsidR="007C001D" w:rsidRPr="007C001D">
        <w:rPr>
          <w:sz w:val="24"/>
          <w:szCs w:val="24"/>
        </w:rPr>
        <w:t xml:space="preserve"> της ΕΣΕΕ σε θέματα ασφάλισης, </w:t>
      </w:r>
      <w:r w:rsidR="00E600C5">
        <w:rPr>
          <w:sz w:val="24"/>
          <w:szCs w:val="24"/>
        </w:rPr>
        <w:t>εκτιμάται πως θα</w:t>
      </w:r>
      <w:r w:rsidR="007C001D" w:rsidRPr="007C001D">
        <w:rPr>
          <w:sz w:val="24"/>
          <w:szCs w:val="24"/>
        </w:rPr>
        <w:t xml:space="preserve"> βελτιώσει αισθητά το ταμειακό πρόβλημα του ΟΑΕΕ</w:t>
      </w:r>
      <w:r w:rsidR="00E600C5">
        <w:rPr>
          <w:sz w:val="24"/>
          <w:szCs w:val="24"/>
        </w:rPr>
        <w:t xml:space="preserve">. Απώτερος στόχος των προτάσεων είναι η </w:t>
      </w:r>
      <w:r w:rsidR="007C001D" w:rsidRPr="007C001D">
        <w:rPr>
          <w:sz w:val="24"/>
          <w:szCs w:val="24"/>
        </w:rPr>
        <w:t>διαμόρφωση ενός εκσυγχρονισμένου και κοινωνικά ευαισθητοποιημένου ασφαλιστικού περιβ</w:t>
      </w:r>
      <w:r w:rsidR="00E600C5">
        <w:rPr>
          <w:sz w:val="24"/>
          <w:szCs w:val="24"/>
        </w:rPr>
        <w:t xml:space="preserve">άλλοντος, που θα </w:t>
      </w:r>
      <w:r w:rsidR="005C3CC8">
        <w:rPr>
          <w:sz w:val="24"/>
          <w:szCs w:val="24"/>
        </w:rPr>
        <w:t xml:space="preserve">επιδεικνύει την απαιτούμενη μέριμνα και </w:t>
      </w:r>
      <w:r w:rsidR="00E600C5">
        <w:rPr>
          <w:sz w:val="24"/>
          <w:szCs w:val="24"/>
        </w:rPr>
        <w:t xml:space="preserve"> </w:t>
      </w:r>
      <w:r w:rsidR="005C3CC8">
        <w:rPr>
          <w:sz w:val="24"/>
          <w:szCs w:val="24"/>
        </w:rPr>
        <w:t>θα προασπίζει τα συμφέροντα τόσο των ασφαλισμένων όσο και των συνταξιούχων του Ταμείου.</w:t>
      </w:r>
    </w:p>
    <w:p w:rsidR="007C001D" w:rsidRDefault="007C001D" w:rsidP="00B31422">
      <w:pPr>
        <w:spacing w:after="0" w:line="360" w:lineRule="atLeast"/>
        <w:jc w:val="both"/>
        <w:rPr>
          <w:sz w:val="24"/>
          <w:szCs w:val="24"/>
        </w:rPr>
      </w:pPr>
    </w:p>
    <w:p w:rsidR="00F52082" w:rsidRDefault="00F52082" w:rsidP="00B31422">
      <w:pPr>
        <w:spacing w:after="0" w:line="360" w:lineRule="atLeast"/>
        <w:jc w:val="both"/>
        <w:rPr>
          <w:sz w:val="24"/>
          <w:szCs w:val="24"/>
        </w:rPr>
      </w:pPr>
    </w:p>
    <w:p w:rsidR="005C3CC8" w:rsidRDefault="005C3CC8" w:rsidP="00B31422">
      <w:pPr>
        <w:spacing w:after="0" w:line="360" w:lineRule="atLeast"/>
        <w:jc w:val="both"/>
        <w:rPr>
          <w:sz w:val="24"/>
          <w:szCs w:val="24"/>
        </w:rPr>
      </w:pPr>
    </w:p>
    <w:p w:rsidR="005C3CC8" w:rsidRDefault="005C3CC8" w:rsidP="00B31422">
      <w:pPr>
        <w:spacing w:after="0" w:line="360" w:lineRule="atLeast"/>
        <w:jc w:val="both"/>
        <w:rPr>
          <w:sz w:val="24"/>
          <w:szCs w:val="24"/>
        </w:rPr>
      </w:pPr>
    </w:p>
    <w:p w:rsidR="005C3CC8" w:rsidRPr="00F52082" w:rsidRDefault="005C3CC8" w:rsidP="00B31422">
      <w:pPr>
        <w:spacing w:after="0" w:line="360" w:lineRule="atLeast"/>
        <w:jc w:val="both"/>
        <w:rPr>
          <w:sz w:val="24"/>
          <w:szCs w:val="24"/>
        </w:rPr>
      </w:pPr>
    </w:p>
    <w:p w:rsidR="00A451D0" w:rsidRDefault="00A451D0" w:rsidP="00764AF7">
      <w:pPr>
        <w:spacing w:after="0" w:line="360" w:lineRule="atLeast"/>
        <w:rPr>
          <w:rFonts w:ascii="Calibri" w:hAnsi="Calibri" w:cs="Calibri"/>
          <w:b/>
          <w:i/>
          <w:color w:val="000000"/>
          <w:sz w:val="30"/>
          <w:szCs w:val="30"/>
        </w:rPr>
      </w:pPr>
    </w:p>
    <w:tbl>
      <w:tblPr>
        <w:tblStyle w:val="a3"/>
        <w:tblW w:w="9781" w:type="dxa"/>
        <w:tblInd w:w="-601" w:type="dxa"/>
        <w:tblLook w:val="04A0"/>
      </w:tblPr>
      <w:tblGrid>
        <w:gridCol w:w="2977"/>
        <w:gridCol w:w="2693"/>
        <w:gridCol w:w="2693"/>
        <w:gridCol w:w="1418"/>
      </w:tblGrid>
      <w:tr w:rsidR="00E22BC9" w:rsidTr="0090038E">
        <w:trPr>
          <w:trHeight w:hRule="exact" w:val="874"/>
        </w:trPr>
        <w:tc>
          <w:tcPr>
            <w:tcW w:w="9781" w:type="dxa"/>
            <w:gridSpan w:val="4"/>
            <w:tcBorders>
              <w:top w:val="threeDEngrave" w:sz="24" w:space="0" w:color="auto"/>
              <w:left w:val="threeDEngrave" w:sz="24" w:space="0" w:color="auto"/>
              <w:right w:val="threeDEngrave" w:sz="24" w:space="0" w:color="auto"/>
            </w:tcBorders>
            <w:shd w:val="clear" w:color="auto" w:fill="A6A6A6" w:themeFill="background1" w:themeFillShade="A6"/>
            <w:vAlign w:val="center"/>
          </w:tcPr>
          <w:p w:rsidR="00E22BC9" w:rsidRPr="00D7037F" w:rsidRDefault="00E22BC9" w:rsidP="00E22BC9">
            <w:pPr>
              <w:jc w:val="center"/>
              <w:rPr>
                <w:sz w:val="24"/>
                <w:szCs w:val="24"/>
              </w:rPr>
            </w:pPr>
            <w:r w:rsidRPr="00AC781B">
              <w:rPr>
                <w:b/>
                <w:i/>
                <w:sz w:val="26"/>
                <w:szCs w:val="26"/>
              </w:rPr>
              <w:lastRenderedPageBreak/>
              <w:t xml:space="preserve">Πίνακας </w:t>
            </w:r>
            <w:r w:rsidR="00E60082">
              <w:rPr>
                <w:b/>
                <w:i/>
                <w:sz w:val="26"/>
                <w:szCs w:val="26"/>
              </w:rPr>
              <w:t>1</w:t>
            </w:r>
            <w:r w:rsidRPr="00AC781B">
              <w:rPr>
                <w:b/>
                <w:i/>
                <w:sz w:val="26"/>
                <w:szCs w:val="26"/>
              </w:rPr>
              <w:t>:</w:t>
            </w:r>
            <w:r>
              <w:t xml:space="preserve">   </w:t>
            </w:r>
            <w:r>
              <w:rPr>
                <w:sz w:val="24"/>
                <w:szCs w:val="24"/>
              </w:rPr>
              <w:t>Συγκριτική</w:t>
            </w:r>
            <w:r w:rsidRPr="00D7037F">
              <w:rPr>
                <w:sz w:val="24"/>
                <w:szCs w:val="24"/>
              </w:rPr>
              <w:t xml:space="preserve"> παρουσίαση ΟΑΕΕ</w:t>
            </w:r>
          </w:p>
          <w:p w:rsidR="00E22BC9" w:rsidRPr="008056B5" w:rsidRDefault="00E22BC9" w:rsidP="0090038E">
            <w:pPr>
              <w:ind w:left="830"/>
              <w:rPr>
                <w:b/>
                <w:i/>
              </w:rPr>
            </w:pPr>
            <w:r w:rsidRPr="008056B5">
              <w:rPr>
                <w:b/>
                <w:i/>
              </w:rPr>
              <w:t xml:space="preserve">                                                (Οκτώβριος 2014/Δεκέμβριος 2012)</w:t>
            </w:r>
          </w:p>
        </w:tc>
      </w:tr>
      <w:tr w:rsidR="00E22BC9" w:rsidTr="0090038E">
        <w:trPr>
          <w:trHeight w:hRule="exact" w:val="928"/>
        </w:trPr>
        <w:tc>
          <w:tcPr>
            <w:tcW w:w="2977" w:type="dxa"/>
            <w:tcBorders>
              <w:top w:val="threeDEngrave" w:sz="24" w:space="0" w:color="auto"/>
              <w:left w:val="threeDEngrave" w:sz="24" w:space="0" w:color="auto"/>
              <w:bottom w:val="threeDEngrave" w:sz="24" w:space="0" w:color="auto"/>
              <w:right w:val="threeDEngrave" w:sz="24" w:space="0" w:color="auto"/>
            </w:tcBorders>
            <w:shd w:val="clear" w:color="auto" w:fill="B8CCE4" w:themeFill="accent1" w:themeFillTint="66"/>
            <w:vAlign w:val="center"/>
          </w:tcPr>
          <w:p w:rsidR="00E22BC9" w:rsidRPr="00764AF7" w:rsidRDefault="00E22BC9" w:rsidP="00E22BC9">
            <w:pPr>
              <w:rPr>
                <w:b/>
                <w:sz w:val="24"/>
                <w:szCs w:val="24"/>
              </w:rPr>
            </w:pPr>
          </w:p>
        </w:tc>
        <w:tc>
          <w:tcPr>
            <w:tcW w:w="2693" w:type="dxa"/>
            <w:tcBorders>
              <w:top w:val="threeDEngrave" w:sz="24" w:space="0" w:color="auto"/>
              <w:left w:val="threeDEngrave" w:sz="24" w:space="0" w:color="auto"/>
              <w:bottom w:val="threeDEngrave" w:sz="24" w:space="0" w:color="auto"/>
              <w:right w:val="threeDEngrave" w:sz="24" w:space="0" w:color="auto"/>
            </w:tcBorders>
            <w:shd w:val="clear" w:color="auto" w:fill="B8CCE4" w:themeFill="accent1" w:themeFillTint="66"/>
            <w:vAlign w:val="center"/>
          </w:tcPr>
          <w:p w:rsidR="00E22BC9" w:rsidRPr="00764AF7" w:rsidRDefault="00E22BC9" w:rsidP="00E22BC9">
            <w:pPr>
              <w:jc w:val="center"/>
              <w:rPr>
                <w:b/>
                <w:sz w:val="24"/>
                <w:szCs w:val="24"/>
              </w:rPr>
            </w:pPr>
            <w:r>
              <w:rPr>
                <w:b/>
                <w:sz w:val="24"/>
                <w:szCs w:val="24"/>
              </w:rPr>
              <w:t>Οκτώβριος 2014</w:t>
            </w:r>
          </w:p>
        </w:tc>
        <w:tc>
          <w:tcPr>
            <w:tcW w:w="2693" w:type="dxa"/>
            <w:tcBorders>
              <w:top w:val="threeDEngrave" w:sz="24" w:space="0" w:color="auto"/>
              <w:left w:val="threeDEngrave" w:sz="24" w:space="0" w:color="auto"/>
              <w:bottom w:val="threeDEngrave" w:sz="24" w:space="0" w:color="auto"/>
              <w:right w:val="threeDEngrave" w:sz="24" w:space="0" w:color="auto"/>
            </w:tcBorders>
            <w:shd w:val="clear" w:color="auto" w:fill="B8CCE4" w:themeFill="accent1" w:themeFillTint="66"/>
            <w:vAlign w:val="center"/>
          </w:tcPr>
          <w:p w:rsidR="00E22BC9" w:rsidRPr="00266BD1" w:rsidRDefault="00E22BC9" w:rsidP="00E22BC9">
            <w:pPr>
              <w:jc w:val="center"/>
              <w:rPr>
                <w:b/>
              </w:rPr>
            </w:pPr>
            <w:r w:rsidRPr="00266BD1">
              <w:rPr>
                <w:b/>
                <w:sz w:val="24"/>
                <w:szCs w:val="24"/>
              </w:rPr>
              <w:t>Δεκέμβριος 2012</w:t>
            </w:r>
          </w:p>
        </w:tc>
        <w:tc>
          <w:tcPr>
            <w:tcW w:w="1418" w:type="dxa"/>
            <w:tcBorders>
              <w:top w:val="threeDEngrave" w:sz="24" w:space="0" w:color="auto"/>
              <w:left w:val="threeDEngrave" w:sz="24" w:space="0" w:color="auto"/>
              <w:bottom w:val="threeDEngrave" w:sz="24" w:space="0" w:color="auto"/>
              <w:right w:val="threeDEngrave" w:sz="24" w:space="0" w:color="auto"/>
            </w:tcBorders>
            <w:shd w:val="clear" w:color="auto" w:fill="B8CCE4" w:themeFill="accent1" w:themeFillTint="66"/>
            <w:vAlign w:val="center"/>
          </w:tcPr>
          <w:p w:rsidR="00E22BC9" w:rsidRPr="00E60082" w:rsidRDefault="00E60082" w:rsidP="00E60082">
            <w:pPr>
              <w:jc w:val="center"/>
              <w:rPr>
                <w:b/>
                <w:sz w:val="24"/>
                <w:szCs w:val="24"/>
              </w:rPr>
            </w:pPr>
            <w:r w:rsidRPr="00E60082">
              <w:rPr>
                <w:b/>
                <w:sz w:val="24"/>
                <w:szCs w:val="24"/>
              </w:rPr>
              <w:t>Μεταβολή (%)</w:t>
            </w:r>
          </w:p>
        </w:tc>
      </w:tr>
      <w:tr w:rsidR="00E22BC9" w:rsidTr="0090038E">
        <w:trPr>
          <w:trHeight w:hRule="exact" w:val="842"/>
        </w:trPr>
        <w:tc>
          <w:tcPr>
            <w:tcW w:w="2977" w:type="dxa"/>
            <w:tcBorders>
              <w:top w:val="threeDEngrave" w:sz="24" w:space="0" w:color="auto"/>
              <w:left w:val="threeDEngrave" w:sz="24" w:space="0" w:color="auto"/>
              <w:bottom w:val="single" w:sz="4" w:space="0" w:color="auto"/>
              <w:right w:val="threeDEngrave" w:sz="24" w:space="0" w:color="auto"/>
            </w:tcBorders>
            <w:shd w:val="clear" w:color="auto" w:fill="B8CCE4" w:themeFill="accent1" w:themeFillTint="66"/>
            <w:vAlign w:val="center"/>
          </w:tcPr>
          <w:p w:rsidR="0090038E" w:rsidRPr="0090038E" w:rsidRDefault="00E22BC9" w:rsidP="0090038E">
            <w:pPr>
              <w:rPr>
                <w:b/>
                <w:i/>
                <w:sz w:val="24"/>
                <w:szCs w:val="24"/>
                <w:lang w:val="en-US"/>
              </w:rPr>
            </w:pPr>
            <w:r w:rsidRPr="0090038E">
              <w:rPr>
                <w:b/>
                <w:i/>
                <w:sz w:val="24"/>
                <w:szCs w:val="24"/>
              </w:rPr>
              <w:t xml:space="preserve"> Σύνολο Ασφαλισμένων </w:t>
            </w:r>
          </w:p>
        </w:tc>
        <w:tc>
          <w:tcPr>
            <w:tcW w:w="2693" w:type="dxa"/>
            <w:tcBorders>
              <w:top w:val="threeDEngrave" w:sz="24" w:space="0" w:color="auto"/>
              <w:left w:val="threeDEngrave" w:sz="24" w:space="0" w:color="auto"/>
              <w:bottom w:val="double" w:sz="4" w:space="0" w:color="auto"/>
              <w:right w:val="double" w:sz="4" w:space="0" w:color="auto"/>
            </w:tcBorders>
            <w:vAlign w:val="center"/>
          </w:tcPr>
          <w:p w:rsidR="00E22BC9" w:rsidRPr="006E2416" w:rsidRDefault="00E22BC9" w:rsidP="00E60082">
            <w:pPr>
              <w:jc w:val="both"/>
              <w:rPr>
                <w:sz w:val="24"/>
                <w:szCs w:val="24"/>
              </w:rPr>
            </w:pPr>
            <w:r>
              <w:rPr>
                <w:sz w:val="24"/>
                <w:szCs w:val="24"/>
              </w:rPr>
              <w:t xml:space="preserve">              </w:t>
            </w:r>
            <w:r w:rsidRPr="006E2416">
              <w:rPr>
                <w:sz w:val="24"/>
                <w:szCs w:val="24"/>
              </w:rPr>
              <w:t>751.600</w:t>
            </w:r>
          </w:p>
        </w:tc>
        <w:tc>
          <w:tcPr>
            <w:tcW w:w="2693" w:type="dxa"/>
            <w:tcBorders>
              <w:top w:val="threeDEngrave" w:sz="24" w:space="0" w:color="auto"/>
              <w:left w:val="double" w:sz="4" w:space="0" w:color="auto"/>
              <w:bottom w:val="double" w:sz="4" w:space="0" w:color="auto"/>
              <w:right w:val="double" w:sz="4" w:space="0" w:color="auto"/>
            </w:tcBorders>
            <w:shd w:val="clear" w:color="auto" w:fill="auto"/>
            <w:vAlign w:val="center"/>
          </w:tcPr>
          <w:p w:rsidR="00E22BC9" w:rsidRPr="0090038E" w:rsidRDefault="00E22BC9" w:rsidP="0090038E">
            <w:pPr>
              <w:rPr>
                <w:lang w:val="en-US"/>
              </w:rPr>
            </w:pPr>
            <w:r w:rsidRPr="006E2416">
              <w:rPr>
                <w:sz w:val="24"/>
                <w:szCs w:val="24"/>
              </w:rPr>
              <w:t xml:space="preserve">        </w:t>
            </w:r>
            <w:r>
              <w:rPr>
                <w:sz w:val="24"/>
                <w:szCs w:val="24"/>
              </w:rPr>
              <w:t xml:space="preserve">       </w:t>
            </w:r>
            <w:r w:rsidRPr="006E2416">
              <w:rPr>
                <w:sz w:val="24"/>
                <w:szCs w:val="24"/>
              </w:rPr>
              <w:t xml:space="preserve"> 774.43</w:t>
            </w:r>
            <w:r w:rsidR="0090038E">
              <w:rPr>
                <w:sz w:val="24"/>
                <w:szCs w:val="24"/>
                <w:lang w:val="en-US"/>
              </w:rPr>
              <w:t>5</w:t>
            </w:r>
          </w:p>
        </w:tc>
        <w:tc>
          <w:tcPr>
            <w:tcW w:w="1418" w:type="dxa"/>
            <w:tcBorders>
              <w:top w:val="threeDEngrave" w:sz="24" w:space="0" w:color="auto"/>
              <w:left w:val="double" w:sz="4" w:space="0" w:color="auto"/>
              <w:bottom w:val="double" w:sz="4" w:space="0" w:color="auto"/>
              <w:right w:val="threeDEngrave" w:sz="24" w:space="0" w:color="auto"/>
            </w:tcBorders>
            <w:shd w:val="clear" w:color="auto" w:fill="auto"/>
            <w:vAlign w:val="center"/>
          </w:tcPr>
          <w:p w:rsidR="00E22BC9" w:rsidRPr="00A451D0" w:rsidRDefault="00E22BC9" w:rsidP="00E22BC9">
            <w:pPr>
              <w:jc w:val="center"/>
              <w:rPr>
                <w:b/>
                <w:sz w:val="24"/>
                <w:szCs w:val="24"/>
              </w:rPr>
            </w:pPr>
            <w:r w:rsidRPr="00A451D0">
              <w:rPr>
                <w:b/>
                <w:sz w:val="24"/>
                <w:szCs w:val="24"/>
              </w:rPr>
              <w:t>-2,95%</w:t>
            </w:r>
          </w:p>
        </w:tc>
      </w:tr>
      <w:tr w:rsidR="00E22BC9" w:rsidTr="0090038E">
        <w:trPr>
          <w:trHeight w:hRule="exact" w:val="963"/>
        </w:trPr>
        <w:tc>
          <w:tcPr>
            <w:tcW w:w="2977" w:type="dxa"/>
            <w:tcBorders>
              <w:top w:val="double" w:sz="4" w:space="0" w:color="auto"/>
              <w:left w:val="threeDEngrave" w:sz="24" w:space="0" w:color="auto"/>
              <w:bottom w:val="threeDEngrave" w:sz="24" w:space="0" w:color="auto"/>
              <w:right w:val="threeDEngrave" w:sz="24" w:space="0" w:color="auto"/>
            </w:tcBorders>
            <w:shd w:val="clear" w:color="auto" w:fill="B8CCE4" w:themeFill="accent1" w:themeFillTint="66"/>
            <w:vAlign w:val="center"/>
          </w:tcPr>
          <w:p w:rsidR="00E22BC9" w:rsidRPr="00E60082" w:rsidRDefault="00E22BC9" w:rsidP="0090038E">
            <w:pPr>
              <w:rPr>
                <w:b/>
                <w:i/>
                <w:sz w:val="24"/>
                <w:szCs w:val="24"/>
              </w:rPr>
            </w:pPr>
            <w:r w:rsidRPr="00E60082">
              <w:rPr>
                <w:b/>
                <w:i/>
                <w:sz w:val="24"/>
                <w:szCs w:val="24"/>
              </w:rPr>
              <w:t xml:space="preserve">Συνεπείς προς τις υποχρεώσεις τους Ασφαλισμένοι  </w:t>
            </w:r>
          </w:p>
        </w:tc>
        <w:tc>
          <w:tcPr>
            <w:tcW w:w="2693" w:type="dxa"/>
            <w:tcBorders>
              <w:top w:val="double" w:sz="4" w:space="0" w:color="auto"/>
              <w:left w:val="threeDEngrave" w:sz="24" w:space="0" w:color="auto"/>
              <w:bottom w:val="threeDEngrave" w:sz="24" w:space="0" w:color="auto"/>
              <w:right w:val="double" w:sz="4" w:space="0" w:color="auto"/>
            </w:tcBorders>
            <w:vAlign w:val="center"/>
          </w:tcPr>
          <w:p w:rsidR="00E22BC9" w:rsidRPr="006E2416" w:rsidRDefault="00E22BC9" w:rsidP="00E60082">
            <w:pPr>
              <w:jc w:val="both"/>
              <w:rPr>
                <w:sz w:val="24"/>
                <w:szCs w:val="24"/>
              </w:rPr>
            </w:pPr>
            <w:r w:rsidRPr="006E2416">
              <w:rPr>
                <w:sz w:val="24"/>
                <w:szCs w:val="24"/>
              </w:rPr>
              <w:t xml:space="preserve">       </w:t>
            </w:r>
            <w:r>
              <w:rPr>
                <w:sz w:val="24"/>
                <w:szCs w:val="24"/>
              </w:rPr>
              <w:t xml:space="preserve">      </w:t>
            </w:r>
            <w:r w:rsidRPr="006E2416">
              <w:rPr>
                <w:sz w:val="24"/>
                <w:szCs w:val="24"/>
              </w:rPr>
              <w:t xml:space="preserve"> 376.040</w:t>
            </w:r>
          </w:p>
        </w:tc>
        <w:tc>
          <w:tcPr>
            <w:tcW w:w="2693" w:type="dxa"/>
            <w:tcBorders>
              <w:top w:val="double" w:sz="4" w:space="0" w:color="auto"/>
              <w:left w:val="double" w:sz="4" w:space="0" w:color="auto"/>
              <w:bottom w:val="threeDEngrave" w:sz="24" w:space="0" w:color="auto"/>
              <w:right w:val="double" w:sz="4" w:space="0" w:color="auto"/>
            </w:tcBorders>
            <w:shd w:val="clear" w:color="auto" w:fill="auto"/>
            <w:vAlign w:val="center"/>
          </w:tcPr>
          <w:p w:rsidR="00E22BC9" w:rsidRPr="0090038E" w:rsidRDefault="00E22BC9" w:rsidP="0090038E">
            <w:pPr>
              <w:rPr>
                <w:sz w:val="24"/>
                <w:szCs w:val="24"/>
                <w:lang w:val="en-US"/>
              </w:rPr>
            </w:pPr>
            <w:r w:rsidRPr="006E2416">
              <w:rPr>
                <w:sz w:val="24"/>
                <w:szCs w:val="24"/>
              </w:rPr>
              <w:t xml:space="preserve">        </w:t>
            </w:r>
            <w:r>
              <w:rPr>
                <w:sz w:val="24"/>
                <w:szCs w:val="24"/>
              </w:rPr>
              <w:t xml:space="preserve">       </w:t>
            </w:r>
            <w:r w:rsidRPr="006E2416">
              <w:rPr>
                <w:sz w:val="24"/>
                <w:szCs w:val="24"/>
              </w:rPr>
              <w:t xml:space="preserve"> 394.59</w:t>
            </w:r>
            <w:r w:rsidR="0090038E">
              <w:rPr>
                <w:sz w:val="24"/>
                <w:szCs w:val="24"/>
                <w:lang w:val="en-US"/>
              </w:rPr>
              <w:t>5</w:t>
            </w:r>
          </w:p>
        </w:tc>
        <w:tc>
          <w:tcPr>
            <w:tcW w:w="1418" w:type="dxa"/>
            <w:tcBorders>
              <w:top w:val="double" w:sz="4" w:space="0" w:color="auto"/>
              <w:left w:val="double" w:sz="4" w:space="0" w:color="auto"/>
              <w:bottom w:val="threeDEngrave" w:sz="24" w:space="0" w:color="auto"/>
              <w:right w:val="threeDEngrave" w:sz="24" w:space="0" w:color="auto"/>
            </w:tcBorders>
            <w:shd w:val="clear" w:color="auto" w:fill="auto"/>
            <w:vAlign w:val="center"/>
          </w:tcPr>
          <w:p w:rsidR="00E22BC9" w:rsidRPr="00A451D0" w:rsidRDefault="00E22BC9" w:rsidP="00E22BC9">
            <w:pPr>
              <w:jc w:val="center"/>
              <w:rPr>
                <w:b/>
                <w:sz w:val="24"/>
                <w:szCs w:val="24"/>
              </w:rPr>
            </w:pPr>
            <w:r w:rsidRPr="00A451D0">
              <w:rPr>
                <w:b/>
                <w:sz w:val="24"/>
                <w:szCs w:val="24"/>
              </w:rPr>
              <w:t>-4,70%</w:t>
            </w:r>
          </w:p>
        </w:tc>
      </w:tr>
      <w:tr w:rsidR="00E22BC9" w:rsidTr="0090038E">
        <w:trPr>
          <w:trHeight w:hRule="exact" w:val="793"/>
        </w:trPr>
        <w:tc>
          <w:tcPr>
            <w:tcW w:w="2977" w:type="dxa"/>
            <w:vMerge w:val="restart"/>
            <w:tcBorders>
              <w:top w:val="threeDEngrave" w:sz="24" w:space="0" w:color="auto"/>
              <w:left w:val="threeDEngrave" w:sz="24" w:space="0" w:color="auto"/>
              <w:right w:val="threeDEngrave" w:sz="24" w:space="0" w:color="auto"/>
            </w:tcBorders>
            <w:shd w:val="clear" w:color="auto" w:fill="B8CCE4" w:themeFill="accent1" w:themeFillTint="66"/>
            <w:vAlign w:val="center"/>
          </w:tcPr>
          <w:p w:rsidR="00E22BC9" w:rsidRPr="00E60082" w:rsidRDefault="00E22BC9" w:rsidP="00E22BC9">
            <w:pPr>
              <w:rPr>
                <w:b/>
                <w:i/>
                <w:sz w:val="24"/>
                <w:szCs w:val="24"/>
              </w:rPr>
            </w:pPr>
            <w:r w:rsidRPr="00E60082">
              <w:rPr>
                <w:b/>
                <w:i/>
                <w:sz w:val="24"/>
                <w:szCs w:val="24"/>
              </w:rPr>
              <w:t xml:space="preserve">Ενεργοί Οφειλέτες  </w:t>
            </w:r>
          </w:p>
          <w:p w:rsidR="00E22BC9" w:rsidRPr="00E60082" w:rsidRDefault="00E22BC9" w:rsidP="00E22BC9">
            <w:pPr>
              <w:pStyle w:val="a6"/>
              <w:ind w:left="318"/>
              <w:rPr>
                <w:b/>
                <w:i/>
                <w:sz w:val="24"/>
                <w:szCs w:val="24"/>
              </w:rPr>
            </w:pPr>
          </w:p>
        </w:tc>
        <w:tc>
          <w:tcPr>
            <w:tcW w:w="2693" w:type="dxa"/>
            <w:tcBorders>
              <w:top w:val="threeDEngrave" w:sz="24" w:space="0" w:color="auto"/>
              <w:left w:val="threeDEngrave" w:sz="24" w:space="0" w:color="auto"/>
              <w:bottom w:val="double" w:sz="4" w:space="0" w:color="auto"/>
              <w:right w:val="double" w:sz="4" w:space="0" w:color="auto"/>
            </w:tcBorders>
            <w:vAlign w:val="center"/>
          </w:tcPr>
          <w:p w:rsidR="00E22BC9" w:rsidRDefault="00E22BC9" w:rsidP="00E22BC9">
            <w:pPr>
              <w:jc w:val="center"/>
              <w:rPr>
                <w:sz w:val="24"/>
                <w:szCs w:val="24"/>
              </w:rPr>
            </w:pPr>
            <w:r>
              <w:rPr>
                <w:sz w:val="24"/>
                <w:szCs w:val="24"/>
              </w:rPr>
              <w:t>Σύνολο οφειλετών:</w:t>
            </w:r>
          </w:p>
          <w:p w:rsidR="00E22BC9" w:rsidRPr="006E2416" w:rsidRDefault="00E22BC9" w:rsidP="00E22BC9">
            <w:pPr>
              <w:jc w:val="center"/>
              <w:rPr>
                <w:sz w:val="24"/>
                <w:szCs w:val="24"/>
              </w:rPr>
            </w:pPr>
            <w:r w:rsidRPr="006E2416">
              <w:rPr>
                <w:sz w:val="24"/>
                <w:szCs w:val="24"/>
              </w:rPr>
              <w:t>375.560</w:t>
            </w:r>
          </w:p>
        </w:tc>
        <w:tc>
          <w:tcPr>
            <w:tcW w:w="2693" w:type="dxa"/>
            <w:tcBorders>
              <w:top w:val="threeDEngrave" w:sz="24" w:space="0" w:color="auto"/>
              <w:left w:val="double" w:sz="4" w:space="0" w:color="auto"/>
              <w:bottom w:val="double" w:sz="4" w:space="0" w:color="auto"/>
              <w:right w:val="double" w:sz="4" w:space="0" w:color="auto"/>
            </w:tcBorders>
            <w:shd w:val="clear" w:color="auto" w:fill="auto"/>
            <w:vAlign w:val="center"/>
          </w:tcPr>
          <w:p w:rsidR="00E22BC9" w:rsidRPr="006E2416" w:rsidRDefault="00E22BC9" w:rsidP="00E22BC9">
            <w:pPr>
              <w:jc w:val="center"/>
              <w:rPr>
                <w:sz w:val="24"/>
                <w:szCs w:val="24"/>
              </w:rPr>
            </w:pPr>
            <w:r>
              <w:rPr>
                <w:sz w:val="24"/>
                <w:szCs w:val="24"/>
              </w:rPr>
              <w:t xml:space="preserve">Σύνολο οφειλετών:      </w:t>
            </w:r>
            <w:r w:rsidRPr="006E2416">
              <w:rPr>
                <w:sz w:val="24"/>
                <w:szCs w:val="24"/>
              </w:rPr>
              <w:t>379.840</w:t>
            </w:r>
          </w:p>
        </w:tc>
        <w:tc>
          <w:tcPr>
            <w:tcW w:w="1418" w:type="dxa"/>
            <w:tcBorders>
              <w:top w:val="threeDEngrave" w:sz="24" w:space="0" w:color="auto"/>
              <w:left w:val="double" w:sz="4" w:space="0" w:color="auto"/>
              <w:bottom w:val="double" w:sz="4" w:space="0" w:color="auto"/>
              <w:right w:val="threeDEngrave" w:sz="24" w:space="0" w:color="auto"/>
            </w:tcBorders>
            <w:shd w:val="clear" w:color="auto" w:fill="auto"/>
            <w:vAlign w:val="center"/>
          </w:tcPr>
          <w:p w:rsidR="00E22BC9" w:rsidRPr="00A451D0" w:rsidRDefault="00E22BC9" w:rsidP="00E22BC9">
            <w:pPr>
              <w:jc w:val="center"/>
              <w:rPr>
                <w:b/>
                <w:sz w:val="24"/>
                <w:szCs w:val="24"/>
              </w:rPr>
            </w:pPr>
            <w:r w:rsidRPr="00A451D0">
              <w:rPr>
                <w:b/>
                <w:sz w:val="24"/>
                <w:szCs w:val="24"/>
              </w:rPr>
              <w:t>-1,13%</w:t>
            </w:r>
          </w:p>
        </w:tc>
      </w:tr>
      <w:tr w:rsidR="00E22BC9" w:rsidTr="0090038E">
        <w:trPr>
          <w:trHeight w:hRule="exact" w:val="1257"/>
        </w:trPr>
        <w:tc>
          <w:tcPr>
            <w:tcW w:w="2977" w:type="dxa"/>
            <w:vMerge/>
            <w:tcBorders>
              <w:left w:val="threeDEngrave" w:sz="24" w:space="0" w:color="auto"/>
              <w:right w:val="threeDEngrave" w:sz="24" w:space="0" w:color="auto"/>
            </w:tcBorders>
            <w:shd w:val="clear" w:color="auto" w:fill="B8CCE4" w:themeFill="accent1" w:themeFillTint="66"/>
            <w:vAlign w:val="center"/>
          </w:tcPr>
          <w:p w:rsidR="00E22BC9" w:rsidRPr="00E60082" w:rsidRDefault="00E22BC9" w:rsidP="00E22BC9">
            <w:pPr>
              <w:pStyle w:val="a6"/>
              <w:ind w:left="318"/>
              <w:rPr>
                <w:b/>
                <w:i/>
                <w:sz w:val="24"/>
                <w:szCs w:val="24"/>
              </w:rPr>
            </w:pPr>
          </w:p>
        </w:tc>
        <w:tc>
          <w:tcPr>
            <w:tcW w:w="2693" w:type="dxa"/>
            <w:tcBorders>
              <w:top w:val="double" w:sz="4" w:space="0" w:color="auto"/>
              <w:left w:val="threeDEngrave" w:sz="24" w:space="0" w:color="auto"/>
              <w:bottom w:val="double" w:sz="4" w:space="0" w:color="auto"/>
              <w:right w:val="double" w:sz="4" w:space="0" w:color="auto"/>
            </w:tcBorders>
            <w:vAlign w:val="center"/>
          </w:tcPr>
          <w:p w:rsidR="00E22BC9" w:rsidRPr="00F11B7D" w:rsidRDefault="00E22BC9" w:rsidP="00E22BC9">
            <w:pPr>
              <w:jc w:val="center"/>
              <w:rPr>
                <w:b/>
                <w:i/>
                <w:sz w:val="24"/>
                <w:szCs w:val="24"/>
                <w:u w:val="single"/>
              </w:rPr>
            </w:pPr>
            <w:r w:rsidRPr="00F11B7D">
              <w:rPr>
                <w:b/>
                <w:i/>
                <w:sz w:val="24"/>
                <w:szCs w:val="24"/>
                <w:u w:val="single"/>
              </w:rPr>
              <w:t xml:space="preserve">Έως 20.000 </w:t>
            </w:r>
            <w:r w:rsidRPr="00F11B7D">
              <w:rPr>
                <w:rFonts w:cstheme="minorHAnsi"/>
                <w:b/>
                <w:i/>
                <w:sz w:val="24"/>
                <w:szCs w:val="24"/>
                <w:u w:val="single"/>
              </w:rPr>
              <w:t>€</w:t>
            </w:r>
            <w:r w:rsidRPr="00F11B7D">
              <w:rPr>
                <w:b/>
                <w:i/>
                <w:sz w:val="24"/>
                <w:szCs w:val="24"/>
                <w:u w:val="single"/>
              </w:rPr>
              <w:t>:</w:t>
            </w:r>
          </w:p>
          <w:p w:rsidR="00E22BC9" w:rsidRDefault="00E22BC9" w:rsidP="00E22BC9">
            <w:pPr>
              <w:jc w:val="center"/>
              <w:rPr>
                <w:sz w:val="24"/>
                <w:szCs w:val="24"/>
              </w:rPr>
            </w:pPr>
            <w:r>
              <w:rPr>
                <w:sz w:val="24"/>
                <w:szCs w:val="24"/>
              </w:rPr>
              <w:t xml:space="preserve"> </w:t>
            </w:r>
            <w:r w:rsidRPr="006E2416">
              <w:rPr>
                <w:sz w:val="24"/>
                <w:szCs w:val="24"/>
              </w:rPr>
              <w:t>221.700</w:t>
            </w:r>
            <w:r>
              <w:rPr>
                <w:sz w:val="24"/>
                <w:szCs w:val="24"/>
              </w:rPr>
              <w:t xml:space="preserve"> </w:t>
            </w:r>
          </w:p>
          <w:p w:rsidR="00E22BC9" w:rsidRPr="006E2416" w:rsidRDefault="00E22BC9" w:rsidP="00E22BC9">
            <w:pPr>
              <w:jc w:val="center"/>
              <w:rPr>
                <w:sz w:val="24"/>
                <w:szCs w:val="24"/>
              </w:rPr>
            </w:pPr>
            <w:r>
              <w:rPr>
                <w:sz w:val="24"/>
                <w:szCs w:val="24"/>
              </w:rPr>
              <w:t xml:space="preserve"> </w:t>
            </w:r>
            <w:r w:rsidRPr="00DE1B4F">
              <w:rPr>
                <w:i/>
                <w:sz w:val="21"/>
                <w:szCs w:val="21"/>
              </w:rPr>
              <w:t xml:space="preserve">ή το </w:t>
            </w:r>
            <w:r w:rsidRPr="00DE1B4F">
              <w:rPr>
                <w:b/>
                <w:i/>
                <w:sz w:val="21"/>
                <w:szCs w:val="21"/>
              </w:rPr>
              <w:t>59,03%</w:t>
            </w:r>
            <w:r w:rsidRPr="00DE1B4F">
              <w:rPr>
                <w:i/>
                <w:sz w:val="21"/>
                <w:szCs w:val="21"/>
              </w:rPr>
              <w:t xml:space="preserve"> των ενεργών οφειλετών</w:t>
            </w:r>
          </w:p>
        </w:tc>
        <w:tc>
          <w:tcPr>
            <w:tcW w:w="2693" w:type="dxa"/>
            <w:tcBorders>
              <w:top w:val="double" w:sz="4" w:space="0" w:color="auto"/>
              <w:left w:val="double" w:sz="4" w:space="0" w:color="auto"/>
              <w:bottom w:val="double" w:sz="4" w:space="0" w:color="auto"/>
              <w:right w:val="double" w:sz="4" w:space="0" w:color="auto"/>
            </w:tcBorders>
            <w:vAlign w:val="center"/>
          </w:tcPr>
          <w:p w:rsidR="00E22BC9" w:rsidRPr="00F11B7D" w:rsidRDefault="00E22BC9" w:rsidP="00E22BC9">
            <w:pPr>
              <w:jc w:val="center"/>
              <w:rPr>
                <w:b/>
                <w:i/>
                <w:sz w:val="24"/>
                <w:szCs w:val="24"/>
                <w:u w:val="single"/>
              </w:rPr>
            </w:pPr>
            <w:r w:rsidRPr="00F11B7D">
              <w:rPr>
                <w:b/>
                <w:i/>
                <w:sz w:val="24"/>
                <w:szCs w:val="24"/>
                <w:u w:val="single"/>
              </w:rPr>
              <w:t xml:space="preserve">Έως 20.000 €: </w:t>
            </w:r>
          </w:p>
          <w:p w:rsidR="00E22BC9" w:rsidRDefault="00E22BC9" w:rsidP="00E22BC9">
            <w:pPr>
              <w:jc w:val="center"/>
              <w:rPr>
                <w:sz w:val="24"/>
                <w:szCs w:val="24"/>
              </w:rPr>
            </w:pPr>
            <w:r>
              <w:rPr>
                <w:sz w:val="24"/>
                <w:szCs w:val="24"/>
              </w:rPr>
              <w:t>280</w:t>
            </w:r>
            <w:r w:rsidRPr="006E2416">
              <w:rPr>
                <w:sz w:val="24"/>
                <w:szCs w:val="24"/>
              </w:rPr>
              <w:t>.</w:t>
            </w:r>
            <w:r>
              <w:rPr>
                <w:sz w:val="24"/>
                <w:szCs w:val="24"/>
              </w:rPr>
              <w:t>350</w:t>
            </w:r>
          </w:p>
          <w:p w:rsidR="00E22BC9" w:rsidRDefault="00E22BC9" w:rsidP="00E22BC9">
            <w:pPr>
              <w:jc w:val="center"/>
              <w:rPr>
                <w:i/>
                <w:sz w:val="21"/>
                <w:szCs w:val="21"/>
              </w:rPr>
            </w:pPr>
            <w:r w:rsidRPr="00DE1B4F">
              <w:rPr>
                <w:i/>
                <w:sz w:val="21"/>
                <w:szCs w:val="21"/>
              </w:rPr>
              <w:t xml:space="preserve">ή το </w:t>
            </w:r>
            <w:r>
              <w:rPr>
                <w:b/>
                <w:i/>
                <w:sz w:val="21"/>
                <w:szCs w:val="21"/>
              </w:rPr>
              <w:t>73</w:t>
            </w:r>
            <w:r w:rsidRPr="00DE1B4F">
              <w:rPr>
                <w:b/>
                <w:i/>
                <w:sz w:val="21"/>
                <w:szCs w:val="21"/>
              </w:rPr>
              <w:t>,</w:t>
            </w:r>
            <w:r>
              <w:rPr>
                <w:b/>
                <w:i/>
                <w:sz w:val="21"/>
                <w:szCs w:val="21"/>
              </w:rPr>
              <w:t>81</w:t>
            </w:r>
            <w:r w:rsidRPr="00DE1B4F">
              <w:rPr>
                <w:b/>
                <w:i/>
                <w:sz w:val="21"/>
                <w:szCs w:val="21"/>
              </w:rPr>
              <w:t>%</w:t>
            </w:r>
            <w:r w:rsidRPr="00DE1B4F">
              <w:rPr>
                <w:i/>
                <w:sz w:val="21"/>
                <w:szCs w:val="21"/>
              </w:rPr>
              <w:t xml:space="preserve"> των</w:t>
            </w:r>
          </w:p>
          <w:p w:rsidR="00E22BC9" w:rsidRPr="006E2416" w:rsidRDefault="00E22BC9" w:rsidP="00E22BC9">
            <w:pPr>
              <w:jc w:val="center"/>
              <w:rPr>
                <w:sz w:val="24"/>
                <w:szCs w:val="24"/>
              </w:rPr>
            </w:pPr>
            <w:r w:rsidRPr="00DE1B4F">
              <w:rPr>
                <w:i/>
                <w:sz w:val="21"/>
                <w:szCs w:val="21"/>
              </w:rPr>
              <w:t>ενεργών οφειλετών</w:t>
            </w:r>
          </w:p>
        </w:tc>
        <w:tc>
          <w:tcPr>
            <w:tcW w:w="1418" w:type="dxa"/>
            <w:tcBorders>
              <w:top w:val="double" w:sz="4" w:space="0" w:color="auto"/>
              <w:left w:val="double" w:sz="4" w:space="0" w:color="auto"/>
              <w:bottom w:val="double" w:sz="4" w:space="0" w:color="auto"/>
              <w:right w:val="threeDEngrave" w:sz="24" w:space="0" w:color="auto"/>
            </w:tcBorders>
            <w:vAlign w:val="center"/>
          </w:tcPr>
          <w:p w:rsidR="00E22BC9" w:rsidRPr="00A451D0" w:rsidRDefault="00E22BC9" w:rsidP="00E22BC9">
            <w:pPr>
              <w:jc w:val="center"/>
              <w:rPr>
                <w:b/>
                <w:sz w:val="24"/>
                <w:szCs w:val="24"/>
              </w:rPr>
            </w:pPr>
            <w:r w:rsidRPr="00A451D0">
              <w:rPr>
                <w:b/>
                <w:sz w:val="24"/>
                <w:szCs w:val="24"/>
              </w:rPr>
              <w:t>-20,92%</w:t>
            </w:r>
          </w:p>
        </w:tc>
      </w:tr>
      <w:tr w:rsidR="00E22BC9" w:rsidTr="0090038E">
        <w:trPr>
          <w:trHeight w:hRule="exact" w:val="1415"/>
        </w:trPr>
        <w:tc>
          <w:tcPr>
            <w:tcW w:w="2977" w:type="dxa"/>
            <w:vMerge/>
            <w:tcBorders>
              <w:left w:val="threeDEngrave" w:sz="24" w:space="0" w:color="auto"/>
              <w:bottom w:val="threeDEngrave" w:sz="24" w:space="0" w:color="auto"/>
              <w:right w:val="threeDEngrave" w:sz="24" w:space="0" w:color="auto"/>
            </w:tcBorders>
            <w:shd w:val="clear" w:color="auto" w:fill="B8CCE4" w:themeFill="accent1" w:themeFillTint="66"/>
            <w:vAlign w:val="bottom"/>
          </w:tcPr>
          <w:p w:rsidR="00E22BC9" w:rsidRPr="00E60082" w:rsidRDefault="00E22BC9" w:rsidP="00E22BC9">
            <w:pPr>
              <w:pStyle w:val="a6"/>
              <w:numPr>
                <w:ilvl w:val="0"/>
                <w:numId w:val="5"/>
              </w:numPr>
              <w:ind w:left="318" w:hanging="142"/>
              <w:rPr>
                <w:b/>
                <w:i/>
                <w:sz w:val="24"/>
                <w:szCs w:val="24"/>
              </w:rPr>
            </w:pPr>
          </w:p>
        </w:tc>
        <w:tc>
          <w:tcPr>
            <w:tcW w:w="2693" w:type="dxa"/>
            <w:tcBorders>
              <w:top w:val="double" w:sz="4" w:space="0" w:color="auto"/>
              <w:left w:val="threeDEngrave" w:sz="24" w:space="0" w:color="auto"/>
              <w:bottom w:val="threeDEngrave" w:sz="24" w:space="0" w:color="auto"/>
              <w:right w:val="double" w:sz="4" w:space="0" w:color="auto"/>
            </w:tcBorders>
            <w:vAlign w:val="center"/>
          </w:tcPr>
          <w:p w:rsidR="00E22BC9" w:rsidRDefault="00E22BC9" w:rsidP="00E22BC9">
            <w:pPr>
              <w:jc w:val="center"/>
              <w:rPr>
                <w:rFonts w:cstheme="minorHAnsi"/>
                <w:sz w:val="24"/>
                <w:szCs w:val="24"/>
              </w:rPr>
            </w:pPr>
            <w:r w:rsidRPr="00F11B7D">
              <w:rPr>
                <w:b/>
                <w:i/>
                <w:sz w:val="24"/>
                <w:szCs w:val="24"/>
                <w:u w:val="single"/>
              </w:rPr>
              <w:t xml:space="preserve">Άνω των 20.000 </w:t>
            </w:r>
            <w:r w:rsidRPr="00F11B7D">
              <w:rPr>
                <w:rFonts w:cstheme="minorHAnsi"/>
                <w:b/>
                <w:i/>
                <w:sz w:val="24"/>
                <w:szCs w:val="24"/>
                <w:u w:val="single"/>
              </w:rPr>
              <w:t>€:</w:t>
            </w:r>
            <w:r>
              <w:rPr>
                <w:rFonts w:cstheme="minorHAnsi"/>
                <w:sz w:val="24"/>
                <w:szCs w:val="24"/>
              </w:rPr>
              <w:t xml:space="preserve"> </w:t>
            </w:r>
          </w:p>
          <w:p w:rsidR="00E22BC9" w:rsidRDefault="00E22BC9" w:rsidP="00E22BC9">
            <w:pPr>
              <w:jc w:val="center"/>
              <w:rPr>
                <w:rFonts w:cstheme="minorHAnsi"/>
                <w:sz w:val="24"/>
                <w:szCs w:val="24"/>
              </w:rPr>
            </w:pPr>
            <w:r>
              <w:rPr>
                <w:rFonts w:cstheme="minorHAnsi"/>
                <w:sz w:val="24"/>
                <w:szCs w:val="24"/>
              </w:rPr>
              <w:t>153.860</w:t>
            </w:r>
          </w:p>
          <w:p w:rsidR="00E22BC9" w:rsidRPr="006E2416" w:rsidRDefault="00E22BC9" w:rsidP="00E22BC9">
            <w:pPr>
              <w:jc w:val="center"/>
              <w:rPr>
                <w:sz w:val="24"/>
                <w:szCs w:val="24"/>
              </w:rPr>
            </w:pPr>
            <w:r w:rsidRPr="00DE1B4F">
              <w:rPr>
                <w:i/>
                <w:sz w:val="21"/>
                <w:szCs w:val="21"/>
              </w:rPr>
              <w:t xml:space="preserve">ή το </w:t>
            </w:r>
            <w:r>
              <w:rPr>
                <w:b/>
                <w:i/>
                <w:sz w:val="21"/>
                <w:szCs w:val="21"/>
              </w:rPr>
              <w:t>40</w:t>
            </w:r>
            <w:r w:rsidRPr="00DE1B4F">
              <w:rPr>
                <w:b/>
                <w:i/>
                <w:sz w:val="21"/>
                <w:szCs w:val="21"/>
              </w:rPr>
              <w:t>,</w:t>
            </w:r>
            <w:r>
              <w:rPr>
                <w:b/>
                <w:i/>
                <w:sz w:val="21"/>
                <w:szCs w:val="21"/>
              </w:rPr>
              <w:t>97</w:t>
            </w:r>
            <w:r w:rsidRPr="00DE1B4F">
              <w:rPr>
                <w:b/>
                <w:i/>
                <w:sz w:val="21"/>
                <w:szCs w:val="21"/>
              </w:rPr>
              <w:t>%</w:t>
            </w:r>
            <w:r w:rsidRPr="00DE1B4F">
              <w:rPr>
                <w:i/>
                <w:sz w:val="21"/>
                <w:szCs w:val="21"/>
              </w:rPr>
              <w:t xml:space="preserve"> των ενεργών οφειλετών</w:t>
            </w:r>
          </w:p>
        </w:tc>
        <w:tc>
          <w:tcPr>
            <w:tcW w:w="2693" w:type="dxa"/>
            <w:tcBorders>
              <w:top w:val="double" w:sz="4" w:space="0" w:color="auto"/>
              <w:left w:val="double" w:sz="4" w:space="0" w:color="auto"/>
              <w:bottom w:val="threeDEngrave" w:sz="24" w:space="0" w:color="auto"/>
              <w:right w:val="double" w:sz="4" w:space="0" w:color="auto"/>
            </w:tcBorders>
            <w:vAlign w:val="center"/>
          </w:tcPr>
          <w:p w:rsidR="00E22BC9" w:rsidRPr="00F11B7D" w:rsidRDefault="00E22BC9" w:rsidP="00E22BC9">
            <w:pPr>
              <w:jc w:val="center"/>
              <w:rPr>
                <w:b/>
                <w:i/>
                <w:sz w:val="24"/>
                <w:szCs w:val="24"/>
                <w:u w:val="single"/>
              </w:rPr>
            </w:pPr>
            <w:r w:rsidRPr="00F11B7D">
              <w:rPr>
                <w:b/>
                <w:i/>
                <w:sz w:val="24"/>
                <w:szCs w:val="24"/>
                <w:u w:val="single"/>
              </w:rPr>
              <w:t xml:space="preserve">Άνω των 20.000 €: </w:t>
            </w:r>
          </w:p>
          <w:p w:rsidR="00E22BC9" w:rsidRDefault="00E22BC9" w:rsidP="00E22BC9">
            <w:pPr>
              <w:jc w:val="center"/>
              <w:rPr>
                <w:sz w:val="24"/>
                <w:szCs w:val="24"/>
              </w:rPr>
            </w:pPr>
            <w:r>
              <w:rPr>
                <w:sz w:val="24"/>
                <w:szCs w:val="24"/>
              </w:rPr>
              <w:t>99</w:t>
            </w:r>
            <w:r w:rsidRPr="006E2416">
              <w:rPr>
                <w:sz w:val="24"/>
                <w:szCs w:val="24"/>
              </w:rPr>
              <w:t>.</w:t>
            </w:r>
            <w:r>
              <w:rPr>
                <w:sz w:val="24"/>
                <w:szCs w:val="24"/>
              </w:rPr>
              <w:t>490</w:t>
            </w:r>
          </w:p>
          <w:p w:rsidR="00E22BC9" w:rsidRDefault="00E22BC9" w:rsidP="00E22BC9">
            <w:pPr>
              <w:jc w:val="center"/>
              <w:rPr>
                <w:i/>
                <w:sz w:val="21"/>
                <w:szCs w:val="21"/>
              </w:rPr>
            </w:pPr>
            <w:r w:rsidRPr="00DE1B4F">
              <w:rPr>
                <w:i/>
                <w:sz w:val="21"/>
                <w:szCs w:val="21"/>
              </w:rPr>
              <w:t xml:space="preserve">ή το </w:t>
            </w:r>
            <w:r>
              <w:rPr>
                <w:b/>
                <w:i/>
                <w:sz w:val="21"/>
                <w:szCs w:val="21"/>
              </w:rPr>
              <w:t>26</w:t>
            </w:r>
            <w:r w:rsidRPr="00DE1B4F">
              <w:rPr>
                <w:b/>
                <w:i/>
                <w:sz w:val="21"/>
                <w:szCs w:val="21"/>
              </w:rPr>
              <w:t>,</w:t>
            </w:r>
            <w:r>
              <w:rPr>
                <w:b/>
                <w:i/>
                <w:sz w:val="21"/>
                <w:szCs w:val="21"/>
              </w:rPr>
              <w:t>19</w:t>
            </w:r>
            <w:r w:rsidRPr="00DE1B4F">
              <w:rPr>
                <w:b/>
                <w:i/>
                <w:sz w:val="21"/>
                <w:szCs w:val="21"/>
              </w:rPr>
              <w:t>%</w:t>
            </w:r>
            <w:r w:rsidRPr="00DE1B4F">
              <w:rPr>
                <w:i/>
                <w:sz w:val="21"/>
                <w:szCs w:val="21"/>
              </w:rPr>
              <w:t xml:space="preserve"> των</w:t>
            </w:r>
          </w:p>
          <w:p w:rsidR="00E22BC9" w:rsidRPr="006E2416" w:rsidRDefault="00E22BC9" w:rsidP="00E22BC9">
            <w:pPr>
              <w:jc w:val="center"/>
              <w:rPr>
                <w:sz w:val="24"/>
                <w:szCs w:val="24"/>
              </w:rPr>
            </w:pPr>
            <w:r w:rsidRPr="00DE1B4F">
              <w:rPr>
                <w:i/>
                <w:sz w:val="21"/>
                <w:szCs w:val="21"/>
              </w:rPr>
              <w:t>ενεργών οφειλετών</w:t>
            </w:r>
          </w:p>
        </w:tc>
        <w:tc>
          <w:tcPr>
            <w:tcW w:w="1418" w:type="dxa"/>
            <w:tcBorders>
              <w:top w:val="double" w:sz="4" w:space="0" w:color="auto"/>
              <w:left w:val="double" w:sz="4" w:space="0" w:color="auto"/>
              <w:bottom w:val="threeDEngrave" w:sz="24" w:space="0" w:color="auto"/>
              <w:right w:val="threeDEngrave" w:sz="24" w:space="0" w:color="auto"/>
            </w:tcBorders>
            <w:vAlign w:val="center"/>
          </w:tcPr>
          <w:p w:rsidR="00E22BC9" w:rsidRPr="00A451D0" w:rsidRDefault="00E22BC9" w:rsidP="00E22BC9">
            <w:pPr>
              <w:jc w:val="center"/>
              <w:rPr>
                <w:b/>
                <w:sz w:val="24"/>
                <w:szCs w:val="24"/>
              </w:rPr>
            </w:pPr>
            <w:r w:rsidRPr="00A451D0">
              <w:rPr>
                <w:b/>
                <w:sz w:val="24"/>
                <w:szCs w:val="24"/>
              </w:rPr>
              <w:t>54,65%</w:t>
            </w:r>
          </w:p>
        </w:tc>
      </w:tr>
      <w:tr w:rsidR="00E22BC9" w:rsidTr="0090038E">
        <w:trPr>
          <w:trHeight w:hRule="exact" w:val="995"/>
        </w:trPr>
        <w:tc>
          <w:tcPr>
            <w:tcW w:w="2977" w:type="dxa"/>
            <w:vMerge w:val="restart"/>
            <w:tcBorders>
              <w:top w:val="threeDEngrave" w:sz="24" w:space="0" w:color="auto"/>
              <w:left w:val="threeDEngrave" w:sz="24" w:space="0" w:color="auto"/>
              <w:right w:val="threeDEngrave" w:sz="24" w:space="0" w:color="auto"/>
            </w:tcBorders>
            <w:shd w:val="clear" w:color="auto" w:fill="B8CCE4" w:themeFill="accent1" w:themeFillTint="66"/>
            <w:vAlign w:val="center"/>
          </w:tcPr>
          <w:p w:rsidR="00E22BC9" w:rsidRPr="00E60082" w:rsidRDefault="00E22BC9" w:rsidP="00E22BC9">
            <w:pPr>
              <w:rPr>
                <w:b/>
                <w:i/>
                <w:sz w:val="24"/>
                <w:szCs w:val="24"/>
              </w:rPr>
            </w:pPr>
            <w:r w:rsidRPr="00E60082">
              <w:rPr>
                <w:b/>
                <w:i/>
                <w:sz w:val="24"/>
                <w:szCs w:val="24"/>
              </w:rPr>
              <w:t xml:space="preserve">Ύψος ληξιπρόθεσμων </w:t>
            </w:r>
          </w:p>
          <w:p w:rsidR="00E22BC9" w:rsidRPr="00E60082" w:rsidRDefault="00E22BC9" w:rsidP="00E22BC9">
            <w:pPr>
              <w:pStyle w:val="a6"/>
              <w:ind w:left="176"/>
              <w:rPr>
                <w:b/>
                <w:i/>
                <w:sz w:val="24"/>
                <w:szCs w:val="24"/>
              </w:rPr>
            </w:pPr>
            <w:r w:rsidRPr="00E60082">
              <w:rPr>
                <w:b/>
                <w:i/>
                <w:sz w:val="24"/>
                <w:szCs w:val="24"/>
              </w:rPr>
              <w:t xml:space="preserve">        οφειλών </w:t>
            </w:r>
          </w:p>
          <w:p w:rsidR="00E22BC9" w:rsidRPr="00E60082" w:rsidRDefault="00E22BC9" w:rsidP="00E22BC9">
            <w:pPr>
              <w:ind w:left="830"/>
              <w:rPr>
                <w:b/>
                <w:i/>
                <w:sz w:val="24"/>
                <w:szCs w:val="24"/>
              </w:rPr>
            </w:pPr>
          </w:p>
        </w:tc>
        <w:tc>
          <w:tcPr>
            <w:tcW w:w="2693" w:type="dxa"/>
            <w:tcBorders>
              <w:top w:val="threeDEngrave" w:sz="24" w:space="0" w:color="auto"/>
              <w:left w:val="threeDEngrave" w:sz="24" w:space="0" w:color="auto"/>
              <w:bottom w:val="double" w:sz="4" w:space="0" w:color="auto"/>
              <w:right w:val="double" w:sz="4" w:space="0" w:color="auto"/>
            </w:tcBorders>
            <w:vAlign w:val="center"/>
          </w:tcPr>
          <w:p w:rsidR="00E22BC9" w:rsidRDefault="00E22BC9" w:rsidP="00E22BC9">
            <w:pPr>
              <w:jc w:val="center"/>
              <w:rPr>
                <w:sz w:val="24"/>
                <w:szCs w:val="24"/>
              </w:rPr>
            </w:pPr>
            <w:r>
              <w:rPr>
                <w:sz w:val="24"/>
                <w:szCs w:val="24"/>
              </w:rPr>
              <w:t>Συνολικές οφειλές:</w:t>
            </w:r>
          </w:p>
          <w:p w:rsidR="00E22BC9" w:rsidRPr="00CA2EEE" w:rsidRDefault="00E22BC9" w:rsidP="00E22BC9">
            <w:pPr>
              <w:jc w:val="center"/>
              <w:rPr>
                <w:sz w:val="24"/>
                <w:szCs w:val="24"/>
              </w:rPr>
            </w:pPr>
            <w:r w:rsidRPr="00CA2EEE">
              <w:rPr>
                <w:sz w:val="24"/>
                <w:szCs w:val="24"/>
              </w:rPr>
              <w:t>8,36 δις €</w:t>
            </w:r>
          </w:p>
        </w:tc>
        <w:tc>
          <w:tcPr>
            <w:tcW w:w="2693" w:type="dxa"/>
            <w:tcBorders>
              <w:top w:val="threeDEngrave" w:sz="24" w:space="0" w:color="auto"/>
              <w:left w:val="double" w:sz="4" w:space="0" w:color="auto"/>
              <w:bottom w:val="double" w:sz="4" w:space="0" w:color="auto"/>
              <w:right w:val="double" w:sz="4" w:space="0" w:color="auto"/>
            </w:tcBorders>
            <w:vAlign w:val="center"/>
          </w:tcPr>
          <w:p w:rsidR="00E22BC9" w:rsidRDefault="00E22BC9" w:rsidP="00E22BC9">
            <w:pPr>
              <w:jc w:val="center"/>
              <w:rPr>
                <w:sz w:val="24"/>
                <w:szCs w:val="24"/>
              </w:rPr>
            </w:pPr>
            <w:r>
              <w:rPr>
                <w:sz w:val="24"/>
                <w:szCs w:val="24"/>
              </w:rPr>
              <w:t>Συνολικές οφειλές:</w:t>
            </w:r>
          </w:p>
          <w:p w:rsidR="00E22BC9" w:rsidRPr="00F11B7D" w:rsidRDefault="00E22BC9" w:rsidP="00E22BC9">
            <w:pPr>
              <w:jc w:val="center"/>
              <w:rPr>
                <w:b/>
                <w:i/>
                <w:sz w:val="24"/>
                <w:szCs w:val="24"/>
                <w:u w:val="single"/>
              </w:rPr>
            </w:pPr>
            <w:r w:rsidRPr="00CA2EEE">
              <w:rPr>
                <w:sz w:val="24"/>
                <w:szCs w:val="24"/>
              </w:rPr>
              <w:t>5,96 δις €</w:t>
            </w:r>
          </w:p>
        </w:tc>
        <w:tc>
          <w:tcPr>
            <w:tcW w:w="1418" w:type="dxa"/>
            <w:tcBorders>
              <w:top w:val="threeDEngrave" w:sz="24" w:space="0" w:color="auto"/>
              <w:left w:val="double" w:sz="4" w:space="0" w:color="auto"/>
              <w:bottom w:val="double" w:sz="4" w:space="0" w:color="auto"/>
              <w:right w:val="threeDEngrave" w:sz="24" w:space="0" w:color="auto"/>
            </w:tcBorders>
            <w:vAlign w:val="center"/>
          </w:tcPr>
          <w:p w:rsidR="00E22BC9" w:rsidRPr="00A451D0" w:rsidRDefault="00E22BC9" w:rsidP="00E22BC9">
            <w:pPr>
              <w:jc w:val="center"/>
              <w:rPr>
                <w:b/>
                <w:sz w:val="24"/>
                <w:szCs w:val="24"/>
              </w:rPr>
            </w:pPr>
            <w:r w:rsidRPr="00A451D0">
              <w:rPr>
                <w:b/>
                <w:sz w:val="24"/>
                <w:szCs w:val="24"/>
              </w:rPr>
              <w:t>40,27%</w:t>
            </w:r>
          </w:p>
        </w:tc>
      </w:tr>
      <w:tr w:rsidR="00E22BC9" w:rsidTr="0090038E">
        <w:trPr>
          <w:trHeight w:hRule="exact" w:val="1289"/>
        </w:trPr>
        <w:tc>
          <w:tcPr>
            <w:tcW w:w="2977" w:type="dxa"/>
            <w:vMerge/>
            <w:tcBorders>
              <w:left w:val="threeDEngrave" w:sz="24" w:space="0" w:color="auto"/>
              <w:right w:val="threeDEngrave" w:sz="24" w:space="0" w:color="auto"/>
            </w:tcBorders>
            <w:shd w:val="clear" w:color="auto" w:fill="B8CCE4" w:themeFill="accent1" w:themeFillTint="66"/>
            <w:vAlign w:val="center"/>
          </w:tcPr>
          <w:p w:rsidR="00E22BC9" w:rsidRPr="00E60082" w:rsidRDefault="00E22BC9" w:rsidP="00E22BC9">
            <w:pPr>
              <w:ind w:left="830"/>
              <w:rPr>
                <w:b/>
                <w:i/>
                <w:sz w:val="24"/>
                <w:szCs w:val="24"/>
              </w:rPr>
            </w:pPr>
          </w:p>
        </w:tc>
        <w:tc>
          <w:tcPr>
            <w:tcW w:w="2693" w:type="dxa"/>
            <w:tcBorders>
              <w:top w:val="double" w:sz="4" w:space="0" w:color="auto"/>
              <w:left w:val="threeDEngrave" w:sz="24" w:space="0" w:color="auto"/>
              <w:bottom w:val="double" w:sz="4" w:space="0" w:color="auto"/>
              <w:right w:val="double" w:sz="4" w:space="0" w:color="auto"/>
            </w:tcBorders>
            <w:vAlign w:val="center"/>
          </w:tcPr>
          <w:p w:rsidR="00E22BC9" w:rsidRPr="00F11B7D" w:rsidRDefault="00E22BC9" w:rsidP="00E22BC9">
            <w:pPr>
              <w:jc w:val="center"/>
              <w:rPr>
                <w:b/>
                <w:i/>
                <w:sz w:val="24"/>
                <w:szCs w:val="24"/>
                <w:u w:val="single"/>
              </w:rPr>
            </w:pPr>
            <w:r w:rsidRPr="00F11B7D">
              <w:rPr>
                <w:b/>
                <w:i/>
                <w:sz w:val="24"/>
                <w:szCs w:val="24"/>
                <w:u w:val="single"/>
              </w:rPr>
              <w:t xml:space="preserve">Έως 20.000 €: </w:t>
            </w:r>
          </w:p>
          <w:p w:rsidR="00E22BC9" w:rsidRDefault="00E22BC9" w:rsidP="00E22BC9">
            <w:pPr>
              <w:jc w:val="center"/>
              <w:rPr>
                <w:sz w:val="24"/>
                <w:szCs w:val="24"/>
              </w:rPr>
            </w:pPr>
            <w:r>
              <w:rPr>
                <w:sz w:val="24"/>
                <w:szCs w:val="24"/>
              </w:rPr>
              <w:t xml:space="preserve">1,76 δις </w:t>
            </w:r>
            <w:r>
              <w:rPr>
                <w:rFonts w:cstheme="minorHAnsi"/>
                <w:sz w:val="24"/>
                <w:szCs w:val="24"/>
              </w:rPr>
              <w:t>€</w:t>
            </w:r>
          </w:p>
          <w:p w:rsidR="00E22BC9" w:rsidRPr="00764AF7" w:rsidRDefault="00E22BC9" w:rsidP="00E22BC9">
            <w:pPr>
              <w:jc w:val="center"/>
              <w:rPr>
                <w:sz w:val="24"/>
                <w:szCs w:val="24"/>
              </w:rPr>
            </w:pPr>
            <w:r w:rsidRPr="00DE1B4F">
              <w:rPr>
                <w:i/>
                <w:sz w:val="21"/>
                <w:szCs w:val="21"/>
              </w:rPr>
              <w:t xml:space="preserve">ή το </w:t>
            </w:r>
            <w:r>
              <w:rPr>
                <w:b/>
                <w:i/>
                <w:sz w:val="21"/>
                <w:szCs w:val="21"/>
              </w:rPr>
              <w:t>21</w:t>
            </w:r>
            <w:r w:rsidRPr="00DE1B4F">
              <w:rPr>
                <w:b/>
                <w:i/>
                <w:sz w:val="21"/>
                <w:szCs w:val="21"/>
              </w:rPr>
              <w:t>,</w:t>
            </w:r>
            <w:r>
              <w:rPr>
                <w:b/>
                <w:i/>
                <w:sz w:val="21"/>
                <w:szCs w:val="21"/>
              </w:rPr>
              <w:t>05</w:t>
            </w:r>
            <w:r w:rsidRPr="00DE1B4F">
              <w:rPr>
                <w:b/>
                <w:i/>
                <w:sz w:val="21"/>
                <w:szCs w:val="21"/>
              </w:rPr>
              <w:t>%</w:t>
            </w:r>
            <w:r w:rsidRPr="00DE1B4F">
              <w:rPr>
                <w:i/>
                <w:sz w:val="21"/>
                <w:szCs w:val="21"/>
              </w:rPr>
              <w:t xml:space="preserve"> των </w:t>
            </w:r>
            <w:r>
              <w:rPr>
                <w:i/>
                <w:sz w:val="21"/>
                <w:szCs w:val="21"/>
              </w:rPr>
              <w:t>συνολικών ληξιπρόθεσμων οφειλών</w:t>
            </w:r>
          </w:p>
        </w:tc>
        <w:tc>
          <w:tcPr>
            <w:tcW w:w="2693" w:type="dxa"/>
            <w:tcBorders>
              <w:top w:val="double" w:sz="4" w:space="0" w:color="auto"/>
              <w:left w:val="double" w:sz="4" w:space="0" w:color="auto"/>
              <w:bottom w:val="double" w:sz="4" w:space="0" w:color="auto"/>
              <w:right w:val="double" w:sz="4" w:space="0" w:color="auto"/>
            </w:tcBorders>
            <w:vAlign w:val="center"/>
          </w:tcPr>
          <w:p w:rsidR="00E22BC9" w:rsidRPr="00F11B7D" w:rsidRDefault="00E22BC9" w:rsidP="00E22BC9">
            <w:pPr>
              <w:jc w:val="center"/>
              <w:rPr>
                <w:b/>
                <w:i/>
                <w:sz w:val="24"/>
                <w:szCs w:val="24"/>
                <w:u w:val="single"/>
              </w:rPr>
            </w:pPr>
            <w:r w:rsidRPr="00F11B7D">
              <w:rPr>
                <w:b/>
                <w:i/>
                <w:sz w:val="24"/>
                <w:szCs w:val="24"/>
                <w:u w:val="single"/>
              </w:rPr>
              <w:t xml:space="preserve">Έως 20.000 €: </w:t>
            </w:r>
          </w:p>
          <w:p w:rsidR="00E22BC9" w:rsidRDefault="00E22BC9" w:rsidP="00E22BC9">
            <w:pPr>
              <w:jc w:val="center"/>
              <w:rPr>
                <w:sz w:val="24"/>
                <w:szCs w:val="24"/>
              </w:rPr>
            </w:pPr>
            <w:r>
              <w:rPr>
                <w:sz w:val="24"/>
                <w:szCs w:val="24"/>
              </w:rPr>
              <w:t xml:space="preserve">1,91 δις </w:t>
            </w:r>
            <w:r>
              <w:rPr>
                <w:rFonts w:cstheme="minorHAnsi"/>
                <w:sz w:val="24"/>
                <w:szCs w:val="24"/>
              </w:rPr>
              <w:t>€</w:t>
            </w:r>
          </w:p>
          <w:p w:rsidR="00E22BC9" w:rsidRPr="00764AF7" w:rsidRDefault="00E22BC9" w:rsidP="00E22BC9">
            <w:pPr>
              <w:jc w:val="center"/>
              <w:rPr>
                <w:sz w:val="24"/>
                <w:szCs w:val="24"/>
              </w:rPr>
            </w:pPr>
            <w:r w:rsidRPr="00DE1B4F">
              <w:rPr>
                <w:i/>
                <w:sz w:val="21"/>
                <w:szCs w:val="21"/>
              </w:rPr>
              <w:t xml:space="preserve">ή το </w:t>
            </w:r>
            <w:r>
              <w:rPr>
                <w:b/>
                <w:i/>
                <w:sz w:val="21"/>
                <w:szCs w:val="21"/>
              </w:rPr>
              <w:t>32,05</w:t>
            </w:r>
            <w:r w:rsidRPr="00DE1B4F">
              <w:rPr>
                <w:b/>
                <w:i/>
                <w:sz w:val="21"/>
                <w:szCs w:val="21"/>
              </w:rPr>
              <w:t>%</w:t>
            </w:r>
            <w:r w:rsidRPr="00DE1B4F">
              <w:rPr>
                <w:i/>
                <w:sz w:val="21"/>
                <w:szCs w:val="21"/>
              </w:rPr>
              <w:t xml:space="preserve"> των </w:t>
            </w:r>
            <w:r>
              <w:rPr>
                <w:i/>
                <w:sz w:val="21"/>
                <w:szCs w:val="21"/>
              </w:rPr>
              <w:t>συνολικών ληξιπρόθεσμων οφειλών</w:t>
            </w:r>
          </w:p>
        </w:tc>
        <w:tc>
          <w:tcPr>
            <w:tcW w:w="1418" w:type="dxa"/>
            <w:tcBorders>
              <w:top w:val="double" w:sz="4" w:space="0" w:color="auto"/>
              <w:left w:val="double" w:sz="4" w:space="0" w:color="auto"/>
              <w:bottom w:val="double" w:sz="4" w:space="0" w:color="auto"/>
              <w:right w:val="threeDEngrave" w:sz="24" w:space="0" w:color="auto"/>
            </w:tcBorders>
            <w:vAlign w:val="center"/>
          </w:tcPr>
          <w:p w:rsidR="00E22BC9" w:rsidRPr="00A451D0" w:rsidRDefault="00E22BC9" w:rsidP="00E22BC9">
            <w:pPr>
              <w:rPr>
                <w:b/>
                <w:sz w:val="24"/>
                <w:szCs w:val="24"/>
              </w:rPr>
            </w:pPr>
            <w:r>
              <w:rPr>
                <w:b/>
                <w:sz w:val="24"/>
                <w:szCs w:val="24"/>
              </w:rPr>
              <w:t xml:space="preserve">    </w:t>
            </w:r>
            <w:r w:rsidRPr="00A451D0">
              <w:rPr>
                <w:b/>
                <w:sz w:val="24"/>
                <w:szCs w:val="24"/>
              </w:rPr>
              <w:t>-7,85%</w:t>
            </w:r>
          </w:p>
        </w:tc>
      </w:tr>
      <w:tr w:rsidR="00E22BC9" w:rsidTr="0090038E">
        <w:trPr>
          <w:trHeight w:hRule="exact" w:val="1511"/>
        </w:trPr>
        <w:tc>
          <w:tcPr>
            <w:tcW w:w="2977" w:type="dxa"/>
            <w:vMerge/>
            <w:tcBorders>
              <w:left w:val="threeDEngrave" w:sz="24" w:space="0" w:color="auto"/>
              <w:bottom w:val="threeDEngrave" w:sz="24" w:space="0" w:color="auto"/>
              <w:right w:val="threeDEngrave" w:sz="24" w:space="0" w:color="auto"/>
            </w:tcBorders>
            <w:shd w:val="clear" w:color="auto" w:fill="B8CCE4" w:themeFill="accent1" w:themeFillTint="66"/>
            <w:vAlign w:val="bottom"/>
          </w:tcPr>
          <w:p w:rsidR="00E22BC9" w:rsidRPr="00E60082" w:rsidRDefault="00E22BC9" w:rsidP="00E22BC9">
            <w:pPr>
              <w:pStyle w:val="a6"/>
              <w:numPr>
                <w:ilvl w:val="0"/>
                <w:numId w:val="5"/>
              </w:numPr>
              <w:ind w:left="318" w:hanging="142"/>
              <w:rPr>
                <w:b/>
                <w:i/>
                <w:sz w:val="24"/>
                <w:szCs w:val="24"/>
              </w:rPr>
            </w:pPr>
          </w:p>
        </w:tc>
        <w:tc>
          <w:tcPr>
            <w:tcW w:w="2693" w:type="dxa"/>
            <w:tcBorders>
              <w:top w:val="double" w:sz="4" w:space="0" w:color="auto"/>
              <w:left w:val="threeDEngrave" w:sz="24" w:space="0" w:color="auto"/>
              <w:bottom w:val="threeDEngrave" w:sz="24" w:space="0" w:color="auto"/>
              <w:right w:val="double" w:sz="4" w:space="0" w:color="auto"/>
            </w:tcBorders>
            <w:vAlign w:val="center"/>
          </w:tcPr>
          <w:p w:rsidR="00E22BC9" w:rsidRDefault="00E22BC9" w:rsidP="00E22BC9">
            <w:pPr>
              <w:jc w:val="center"/>
              <w:rPr>
                <w:rFonts w:cstheme="minorHAnsi"/>
                <w:sz w:val="24"/>
                <w:szCs w:val="24"/>
              </w:rPr>
            </w:pPr>
            <w:r w:rsidRPr="00F11B7D">
              <w:rPr>
                <w:b/>
                <w:i/>
                <w:sz w:val="24"/>
                <w:szCs w:val="24"/>
                <w:u w:val="single"/>
              </w:rPr>
              <w:t>Άνω των 20.000 €:</w:t>
            </w:r>
            <w:r>
              <w:rPr>
                <w:rFonts w:cstheme="minorHAnsi"/>
                <w:sz w:val="24"/>
                <w:szCs w:val="24"/>
              </w:rPr>
              <w:t xml:space="preserve"> </w:t>
            </w:r>
          </w:p>
          <w:p w:rsidR="00E22BC9" w:rsidRDefault="00E22BC9" w:rsidP="00E22BC9">
            <w:pPr>
              <w:jc w:val="center"/>
              <w:rPr>
                <w:rFonts w:cstheme="minorHAnsi"/>
                <w:sz w:val="24"/>
                <w:szCs w:val="24"/>
              </w:rPr>
            </w:pPr>
            <w:r>
              <w:rPr>
                <w:sz w:val="24"/>
                <w:szCs w:val="24"/>
              </w:rPr>
              <w:t xml:space="preserve"> 6,60 δις </w:t>
            </w:r>
            <w:r>
              <w:rPr>
                <w:rFonts w:cstheme="minorHAnsi"/>
                <w:sz w:val="24"/>
                <w:szCs w:val="24"/>
              </w:rPr>
              <w:t>€</w:t>
            </w:r>
          </w:p>
          <w:p w:rsidR="00E22BC9" w:rsidRDefault="00E22BC9" w:rsidP="00E22BC9">
            <w:pPr>
              <w:jc w:val="center"/>
              <w:rPr>
                <w:sz w:val="24"/>
                <w:szCs w:val="24"/>
              </w:rPr>
            </w:pPr>
            <w:r w:rsidRPr="00DE1B4F">
              <w:rPr>
                <w:i/>
                <w:sz w:val="21"/>
                <w:szCs w:val="21"/>
              </w:rPr>
              <w:t xml:space="preserve">ή το </w:t>
            </w:r>
            <w:r>
              <w:rPr>
                <w:b/>
                <w:i/>
                <w:sz w:val="21"/>
                <w:szCs w:val="21"/>
              </w:rPr>
              <w:t>78</w:t>
            </w:r>
            <w:r w:rsidRPr="00DE1B4F">
              <w:rPr>
                <w:b/>
                <w:i/>
                <w:sz w:val="21"/>
                <w:szCs w:val="21"/>
              </w:rPr>
              <w:t>,</w:t>
            </w:r>
            <w:r>
              <w:rPr>
                <w:b/>
                <w:i/>
                <w:sz w:val="21"/>
                <w:szCs w:val="21"/>
              </w:rPr>
              <w:t>95</w:t>
            </w:r>
            <w:r w:rsidRPr="00DE1B4F">
              <w:rPr>
                <w:b/>
                <w:i/>
                <w:sz w:val="21"/>
                <w:szCs w:val="21"/>
              </w:rPr>
              <w:t>%</w:t>
            </w:r>
            <w:r w:rsidRPr="00DE1B4F">
              <w:rPr>
                <w:i/>
                <w:sz w:val="21"/>
                <w:szCs w:val="21"/>
              </w:rPr>
              <w:t xml:space="preserve"> των </w:t>
            </w:r>
            <w:r>
              <w:rPr>
                <w:i/>
                <w:sz w:val="21"/>
                <w:szCs w:val="21"/>
              </w:rPr>
              <w:t>συνολικών ληξιπρόθεσμων οφειλών</w:t>
            </w:r>
          </w:p>
        </w:tc>
        <w:tc>
          <w:tcPr>
            <w:tcW w:w="2693" w:type="dxa"/>
            <w:tcBorders>
              <w:top w:val="double" w:sz="4" w:space="0" w:color="auto"/>
              <w:left w:val="double" w:sz="4" w:space="0" w:color="auto"/>
              <w:bottom w:val="threeDEngrave" w:sz="24" w:space="0" w:color="auto"/>
              <w:right w:val="double" w:sz="4" w:space="0" w:color="auto"/>
            </w:tcBorders>
            <w:vAlign w:val="center"/>
          </w:tcPr>
          <w:p w:rsidR="00E22BC9" w:rsidRDefault="00E22BC9" w:rsidP="00E22BC9">
            <w:pPr>
              <w:jc w:val="center"/>
              <w:rPr>
                <w:rFonts w:cstheme="minorHAnsi"/>
                <w:sz w:val="24"/>
                <w:szCs w:val="24"/>
              </w:rPr>
            </w:pPr>
            <w:r w:rsidRPr="00F11B7D">
              <w:rPr>
                <w:b/>
                <w:i/>
                <w:sz w:val="24"/>
                <w:szCs w:val="24"/>
                <w:u w:val="single"/>
              </w:rPr>
              <w:t>Άνω των 20.000 €:</w:t>
            </w:r>
            <w:r>
              <w:rPr>
                <w:rFonts w:cstheme="minorHAnsi"/>
                <w:sz w:val="24"/>
                <w:szCs w:val="24"/>
              </w:rPr>
              <w:t xml:space="preserve"> </w:t>
            </w:r>
          </w:p>
          <w:p w:rsidR="00E22BC9" w:rsidRDefault="00E22BC9" w:rsidP="00E22BC9">
            <w:pPr>
              <w:jc w:val="center"/>
              <w:rPr>
                <w:rFonts w:cstheme="minorHAnsi"/>
                <w:sz w:val="24"/>
                <w:szCs w:val="24"/>
              </w:rPr>
            </w:pPr>
            <w:r>
              <w:rPr>
                <w:sz w:val="24"/>
                <w:szCs w:val="24"/>
              </w:rPr>
              <w:t xml:space="preserve"> 4,05 δις </w:t>
            </w:r>
            <w:r>
              <w:rPr>
                <w:rFonts w:cstheme="minorHAnsi"/>
                <w:sz w:val="24"/>
                <w:szCs w:val="24"/>
              </w:rPr>
              <w:t>€</w:t>
            </w:r>
          </w:p>
          <w:p w:rsidR="00E22BC9" w:rsidRDefault="00E22BC9" w:rsidP="00E22BC9">
            <w:pPr>
              <w:jc w:val="center"/>
              <w:rPr>
                <w:sz w:val="24"/>
                <w:szCs w:val="24"/>
              </w:rPr>
            </w:pPr>
            <w:r w:rsidRPr="00DE1B4F">
              <w:rPr>
                <w:i/>
                <w:sz w:val="21"/>
                <w:szCs w:val="21"/>
              </w:rPr>
              <w:t xml:space="preserve">ή το </w:t>
            </w:r>
            <w:r>
              <w:rPr>
                <w:b/>
                <w:i/>
                <w:sz w:val="21"/>
                <w:szCs w:val="21"/>
              </w:rPr>
              <w:t>67</w:t>
            </w:r>
            <w:r w:rsidRPr="00DE1B4F">
              <w:rPr>
                <w:b/>
                <w:i/>
                <w:sz w:val="21"/>
                <w:szCs w:val="21"/>
              </w:rPr>
              <w:t>,</w:t>
            </w:r>
            <w:r>
              <w:rPr>
                <w:b/>
                <w:i/>
                <w:sz w:val="21"/>
                <w:szCs w:val="21"/>
              </w:rPr>
              <w:t>95</w:t>
            </w:r>
            <w:r w:rsidRPr="00DE1B4F">
              <w:rPr>
                <w:b/>
                <w:i/>
                <w:sz w:val="21"/>
                <w:szCs w:val="21"/>
              </w:rPr>
              <w:t>%</w:t>
            </w:r>
            <w:r w:rsidRPr="00DE1B4F">
              <w:rPr>
                <w:i/>
                <w:sz w:val="21"/>
                <w:szCs w:val="21"/>
              </w:rPr>
              <w:t xml:space="preserve"> των </w:t>
            </w:r>
            <w:r>
              <w:rPr>
                <w:i/>
                <w:sz w:val="21"/>
                <w:szCs w:val="21"/>
              </w:rPr>
              <w:t>συνολικών ληξιπρόθεσμων οφειλών</w:t>
            </w:r>
          </w:p>
        </w:tc>
        <w:tc>
          <w:tcPr>
            <w:tcW w:w="1418" w:type="dxa"/>
            <w:tcBorders>
              <w:top w:val="double" w:sz="4" w:space="0" w:color="auto"/>
              <w:left w:val="double" w:sz="4" w:space="0" w:color="auto"/>
              <w:bottom w:val="threeDEngrave" w:sz="24" w:space="0" w:color="auto"/>
              <w:right w:val="threeDEngrave" w:sz="24" w:space="0" w:color="auto"/>
            </w:tcBorders>
            <w:vAlign w:val="center"/>
          </w:tcPr>
          <w:p w:rsidR="00E22BC9" w:rsidRPr="00A451D0" w:rsidRDefault="00E22BC9" w:rsidP="00E22BC9">
            <w:pPr>
              <w:jc w:val="center"/>
              <w:rPr>
                <w:b/>
                <w:sz w:val="24"/>
                <w:szCs w:val="24"/>
              </w:rPr>
            </w:pPr>
            <w:r w:rsidRPr="00A451D0">
              <w:rPr>
                <w:b/>
                <w:sz w:val="24"/>
                <w:szCs w:val="24"/>
              </w:rPr>
              <w:t>62,96%</w:t>
            </w:r>
          </w:p>
        </w:tc>
      </w:tr>
      <w:tr w:rsidR="00E22BC9" w:rsidTr="00A9303E">
        <w:trPr>
          <w:trHeight w:hRule="exact" w:val="990"/>
        </w:trPr>
        <w:tc>
          <w:tcPr>
            <w:tcW w:w="2977" w:type="dxa"/>
            <w:tcBorders>
              <w:top w:val="threeDEngrave" w:sz="24" w:space="0" w:color="auto"/>
              <w:left w:val="threeDEngrave" w:sz="24" w:space="0" w:color="auto"/>
              <w:bottom w:val="threeDEngrave" w:sz="24" w:space="0" w:color="auto"/>
              <w:right w:val="threeDEngrave" w:sz="24" w:space="0" w:color="auto"/>
            </w:tcBorders>
            <w:shd w:val="clear" w:color="auto" w:fill="B8CCE4" w:themeFill="accent1" w:themeFillTint="66"/>
            <w:vAlign w:val="center"/>
          </w:tcPr>
          <w:p w:rsidR="00E22BC9" w:rsidRPr="00E60082" w:rsidRDefault="00E22BC9" w:rsidP="00E22BC9">
            <w:pPr>
              <w:rPr>
                <w:b/>
                <w:i/>
                <w:sz w:val="24"/>
                <w:szCs w:val="24"/>
              </w:rPr>
            </w:pPr>
            <w:r w:rsidRPr="00E60082">
              <w:rPr>
                <w:b/>
                <w:i/>
                <w:sz w:val="24"/>
                <w:szCs w:val="24"/>
              </w:rPr>
              <w:t>Ανενεργοί-διακόψαντες Οφειλέτες (εκτιμήσεις)</w:t>
            </w:r>
          </w:p>
        </w:tc>
        <w:tc>
          <w:tcPr>
            <w:tcW w:w="2693" w:type="dxa"/>
            <w:tcBorders>
              <w:top w:val="threeDEngrave" w:sz="24" w:space="0" w:color="auto"/>
              <w:left w:val="threeDEngrave" w:sz="24" w:space="0" w:color="auto"/>
              <w:bottom w:val="threeDEngrave" w:sz="24" w:space="0" w:color="auto"/>
              <w:right w:val="double" w:sz="4" w:space="0" w:color="auto"/>
            </w:tcBorders>
            <w:shd w:val="clear" w:color="auto" w:fill="auto"/>
            <w:vAlign w:val="center"/>
          </w:tcPr>
          <w:p w:rsidR="00E22BC9" w:rsidRPr="00A451D0" w:rsidRDefault="00E22BC9" w:rsidP="0005563D">
            <w:pPr>
              <w:rPr>
                <w:sz w:val="24"/>
                <w:szCs w:val="24"/>
              </w:rPr>
            </w:pPr>
            <w:r w:rsidRPr="00A451D0">
              <w:rPr>
                <w:sz w:val="24"/>
                <w:szCs w:val="24"/>
              </w:rPr>
              <w:t xml:space="preserve">                  2</w:t>
            </w:r>
            <w:r w:rsidR="0005563D">
              <w:rPr>
                <w:sz w:val="24"/>
                <w:szCs w:val="24"/>
                <w:lang w:val="en-US"/>
              </w:rPr>
              <w:t>37</w:t>
            </w:r>
            <w:r w:rsidRPr="00A451D0">
              <w:rPr>
                <w:sz w:val="24"/>
                <w:szCs w:val="24"/>
              </w:rPr>
              <w:t>.000</w:t>
            </w:r>
          </w:p>
        </w:tc>
        <w:tc>
          <w:tcPr>
            <w:tcW w:w="2693" w:type="dxa"/>
            <w:tcBorders>
              <w:top w:val="threeDEngrave" w:sz="24" w:space="0" w:color="auto"/>
              <w:left w:val="double" w:sz="4" w:space="0" w:color="auto"/>
              <w:bottom w:val="threeDEngrave" w:sz="24" w:space="0" w:color="auto"/>
              <w:right w:val="double" w:sz="4" w:space="0" w:color="auto"/>
            </w:tcBorders>
            <w:shd w:val="clear" w:color="auto" w:fill="auto"/>
            <w:vAlign w:val="center"/>
          </w:tcPr>
          <w:p w:rsidR="00E22BC9" w:rsidRPr="00A451D0" w:rsidRDefault="00E22BC9" w:rsidP="00E22BC9">
            <w:pPr>
              <w:jc w:val="center"/>
              <w:rPr>
                <w:sz w:val="24"/>
                <w:szCs w:val="24"/>
              </w:rPr>
            </w:pPr>
            <w:r w:rsidRPr="00A451D0">
              <w:rPr>
                <w:sz w:val="24"/>
                <w:szCs w:val="24"/>
              </w:rPr>
              <w:t>195.590</w:t>
            </w:r>
          </w:p>
        </w:tc>
        <w:tc>
          <w:tcPr>
            <w:tcW w:w="1418" w:type="dxa"/>
            <w:tcBorders>
              <w:top w:val="threeDEngrave" w:sz="24" w:space="0" w:color="auto"/>
              <w:left w:val="double" w:sz="4" w:space="0" w:color="auto"/>
              <w:bottom w:val="threeDEngrave" w:sz="24" w:space="0" w:color="auto"/>
              <w:right w:val="threeDEngrave" w:sz="24" w:space="0" w:color="auto"/>
            </w:tcBorders>
            <w:shd w:val="clear" w:color="auto" w:fill="auto"/>
            <w:vAlign w:val="center"/>
          </w:tcPr>
          <w:p w:rsidR="00E22BC9" w:rsidRPr="00A451D0" w:rsidRDefault="0005563D" w:rsidP="0005563D">
            <w:pPr>
              <w:jc w:val="center"/>
              <w:rPr>
                <w:b/>
                <w:sz w:val="24"/>
                <w:szCs w:val="24"/>
              </w:rPr>
            </w:pPr>
            <w:r>
              <w:rPr>
                <w:b/>
                <w:sz w:val="24"/>
                <w:szCs w:val="24"/>
                <w:lang w:val="en-US"/>
              </w:rPr>
              <w:t>21</w:t>
            </w:r>
            <w:r w:rsidR="00E22BC9" w:rsidRPr="00A451D0">
              <w:rPr>
                <w:b/>
                <w:sz w:val="24"/>
                <w:szCs w:val="24"/>
              </w:rPr>
              <w:t>,</w:t>
            </w:r>
            <w:r>
              <w:rPr>
                <w:b/>
                <w:sz w:val="24"/>
                <w:szCs w:val="24"/>
                <w:lang w:val="en-US"/>
              </w:rPr>
              <w:t>17</w:t>
            </w:r>
            <w:r w:rsidR="00E22BC9" w:rsidRPr="00A451D0">
              <w:rPr>
                <w:b/>
                <w:sz w:val="24"/>
                <w:szCs w:val="24"/>
              </w:rPr>
              <w:t>%</w:t>
            </w:r>
          </w:p>
        </w:tc>
      </w:tr>
    </w:tbl>
    <w:p w:rsidR="00A451D0" w:rsidRDefault="00A451D0" w:rsidP="00764AF7">
      <w:pPr>
        <w:spacing w:after="0" w:line="360" w:lineRule="atLeast"/>
        <w:rPr>
          <w:rFonts w:ascii="Calibri" w:hAnsi="Calibri" w:cs="Calibri"/>
          <w:b/>
          <w:i/>
          <w:color w:val="000000"/>
          <w:sz w:val="30"/>
          <w:szCs w:val="30"/>
        </w:rPr>
      </w:pPr>
    </w:p>
    <w:p w:rsidR="00E22BC9" w:rsidRDefault="00E22BC9" w:rsidP="00764AF7">
      <w:pPr>
        <w:spacing w:after="0" w:line="360" w:lineRule="atLeast"/>
        <w:rPr>
          <w:rFonts w:ascii="Calibri" w:hAnsi="Calibri" w:cs="Calibri"/>
          <w:b/>
          <w:i/>
          <w:color w:val="000000"/>
          <w:sz w:val="30"/>
          <w:szCs w:val="30"/>
        </w:rPr>
      </w:pPr>
    </w:p>
    <w:p w:rsidR="0009566A" w:rsidRDefault="0009566A" w:rsidP="00764AF7">
      <w:pPr>
        <w:spacing w:after="0" w:line="360" w:lineRule="atLeast"/>
        <w:rPr>
          <w:rFonts w:ascii="Calibri" w:hAnsi="Calibri" w:cs="Calibri"/>
          <w:b/>
          <w:i/>
          <w:color w:val="000000"/>
          <w:sz w:val="30"/>
          <w:szCs w:val="30"/>
        </w:rPr>
      </w:pPr>
    </w:p>
    <w:p w:rsidR="0009566A" w:rsidRDefault="0009566A" w:rsidP="00764AF7">
      <w:pPr>
        <w:spacing w:after="0" w:line="360" w:lineRule="atLeast"/>
        <w:rPr>
          <w:rFonts w:ascii="Calibri" w:hAnsi="Calibri" w:cs="Calibri"/>
          <w:b/>
          <w:i/>
          <w:color w:val="000000"/>
          <w:sz w:val="30"/>
          <w:szCs w:val="30"/>
        </w:rPr>
      </w:pPr>
    </w:p>
    <w:p w:rsidR="009E0A2A" w:rsidRDefault="009E0A2A" w:rsidP="00764AF7">
      <w:pPr>
        <w:spacing w:after="0" w:line="360" w:lineRule="atLeast"/>
        <w:rPr>
          <w:rFonts w:ascii="Calibri" w:hAnsi="Calibri" w:cs="Calibri"/>
          <w:b/>
          <w:i/>
          <w:color w:val="000000"/>
          <w:sz w:val="30"/>
          <w:szCs w:val="30"/>
        </w:rPr>
      </w:pPr>
    </w:p>
    <w:p w:rsidR="009E0A2A" w:rsidRDefault="009E0A2A" w:rsidP="009E0A2A">
      <w:pPr>
        <w:pStyle w:val="a6"/>
        <w:ind w:left="284"/>
        <w:contextualSpacing w:val="0"/>
        <w:jc w:val="both"/>
        <w:rPr>
          <w:rFonts w:cstheme="minorHAnsi"/>
          <w:b/>
          <w:i/>
          <w:sz w:val="26"/>
          <w:szCs w:val="26"/>
          <w:u w:val="single"/>
        </w:rPr>
      </w:pPr>
    </w:p>
    <w:p w:rsidR="009E0A2A" w:rsidRPr="009E0A2A" w:rsidRDefault="009E0A2A" w:rsidP="009E0A2A">
      <w:pPr>
        <w:pStyle w:val="a6"/>
        <w:ind w:left="284"/>
        <w:contextualSpacing w:val="0"/>
        <w:jc w:val="both"/>
        <w:rPr>
          <w:rFonts w:cstheme="minorHAnsi"/>
          <w:b/>
          <w:i/>
          <w:sz w:val="26"/>
          <w:szCs w:val="26"/>
          <w:u w:val="single"/>
        </w:rPr>
      </w:pPr>
      <w:r>
        <w:rPr>
          <w:rFonts w:cstheme="minorHAnsi"/>
          <w:b/>
          <w:i/>
          <w:sz w:val="26"/>
          <w:szCs w:val="26"/>
          <w:u w:val="single"/>
        </w:rPr>
        <w:lastRenderedPageBreak/>
        <w:t>Κ</w:t>
      </w:r>
      <w:r w:rsidRPr="009E0A2A">
        <w:rPr>
          <w:rFonts w:cstheme="minorHAnsi"/>
          <w:b/>
          <w:i/>
          <w:sz w:val="26"/>
          <w:szCs w:val="26"/>
          <w:u w:val="single"/>
        </w:rPr>
        <w:t xml:space="preserve">εφαλαιοποίηση και </w:t>
      </w:r>
      <w:r>
        <w:rPr>
          <w:rFonts w:cstheme="minorHAnsi"/>
          <w:b/>
          <w:i/>
          <w:sz w:val="26"/>
          <w:szCs w:val="26"/>
          <w:u w:val="single"/>
        </w:rPr>
        <w:t>πάγωμα</w:t>
      </w:r>
      <w:r w:rsidRPr="009E0A2A">
        <w:rPr>
          <w:rFonts w:cstheme="minorHAnsi"/>
          <w:b/>
          <w:i/>
          <w:sz w:val="26"/>
          <w:szCs w:val="26"/>
          <w:u w:val="single"/>
        </w:rPr>
        <w:t xml:space="preserve"> οφειλών</w:t>
      </w:r>
    </w:p>
    <w:p w:rsidR="00876848" w:rsidRPr="00EF302C" w:rsidRDefault="00876848" w:rsidP="00BE0F85">
      <w:pPr>
        <w:pStyle w:val="a6"/>
        <w:numPr>
          <w:ilvl w:val="0"/>
          <w:numId w:val="8"/>
        </w:numPr>
        <w:spacing w:after="120" w:line="360" w:lineRule="atLeast"/>
        <w:ind w:left="284" w:hanging="568"/>
        <w:contextualSpacing w:val="0"/>
        <w:jc w:val="both"/>
        <w:rPr>
          <w:sz w:val="24"/>
          <w:szCs w:val="24"/>
        </w:rPr>
      </w:pPr>
      <w:r w:rsidRPr="00EF302C">
        <w:rPr>
          <w:sz w:val="24"/>
          <w:szCs w:val="24"/>
        </w:rPr>
        <w:t>Η ποσοστιαία μεταβολή του συνολικού αριθμού των ενεργών ασφαλισμένων</w:t>
      </w:r>
      <w:r w:rsidR="00EF302C">
        <w:rPr>
          <w:sz w:val="24"/>
          <w:szCs w:val="24"/>
        </w:rPr>
        <w:t xml:space="preserve">      </w:t>
      </w:r>
      <w:r w:rsidRPr="00EF302C">
        <w:rPr>
          <w:sz w:val="24"/>
          <w:szCs w:val="24"/>
        </w:rPr>
        <w:t xml:space="preserve"> (-2,95%) και δη των συνεπών (-4,70%), μπορεί με μια πρώτη ανάγνωση να φαντάζει μικρή, όμως σε απόλυτα μεγέθη η απώλεια  22.</w:t>
      </w:r>
      <w:r w:rsidR="00DD0418" w:rsidRPr="00EF302C">
        <w:rPr>
          <w:sz w:val="24"/>
          <w:szCs w:val="24"/>
        </w:rPr>
        <w:t>8</w:t>
      </w:r>
      <w:r w:rsidRPr="00EF302C">
        <w:rPr>
          <w:sz w:val="24"/>
          <w:szCs w:val="24"/>
        </w:rPr>
        <w:t xml:space="preserve">35 ασφαλισμένων και </w:t>
      </w:r>
      <w:r w:rsidR="00DD0418" w:rsidRPr="00EF302C">
        <w:rPr>
          <w:sz w:val="24"/>
          <w:szCs w:val="24"/>
        </w:rPr>
        <w:t>δη</w:t>
      </w:r>
      <w:r w:rsidRPr="00EF302C">
        <w:rPr>
          <w:sz w:val="24"/>
          <w:szCs w:val="24"/>
        </w:rPr>
        <w:t xml:space="preserve"> 18.555 συνεπών προς τις συμβατικές τους υποχρεώ</w:t>
      </w:r>
      <w:r w:rsidR="00DD0418" w:rsidRPr="00EF302C">
        <w:rPr>
          <w:sz w:val="24"/>
          <w:szCs w:val="24"/>
        </w:rPr>
        <w:t>σεις</w:t>
      </w:r>
      <w:r w:rsidRPr="00EF302C">
        <w:rPr>
          <w:sz w:val="24"/>
          <w:szCs w:val="24"/>
        </w:rPr>
        <w:t xml:space="preserve"> σε διάστημα 22 μόλις μηνών, συνιστά σοβαρό πλήγμα για τα έσοδα του ΟΑΕΕ.</w:t>
      </w:r>
    </w:p>
    <w:p w:rsidR="00876848" w:rsidRPr="00DF2329" w:rsidRDefault="00876848" w:rsidP="00BE0F85">
      <w:pPr>
        <w:pStyle w:val="a6"/>
        <w:numPr>
          <w:ilvl w:val="0"/>
          <w:numId w:val="8"/>
        </w:numPr>
        <w:spacing w:after="120" w:line="360" w:lineRule="atLeast"/>
        <w:ind w:left="284" w:hanging="568"/>
        <w:contextualSpacing w:val="0"/>
        <w:jc w:val="both"/>
        <w:rPr>
          <w:sz w:val="24"/>
          <w:szCs w:val="24"/>
        </w:rPr>
      </w:pPr>
      <w:r>
        <w:rPr>
          <w:sz w:val="24"/>
          <w:szCs w:val="24"/>
        </w:rPr>
        <w:t>Ενώ θα περίμενε κανείς</w:t>
      </w:r>
      <w:r w:rsidR="0081069C">
        <w:rPr>
          <w:sz w:val="24"/>
          <w:szCs w:val="24"/>
        </w:rPr>
        <w:t xml:space="preserve"> πως </w:t>
      </w:r>
      <w:r>
        <w:rPr>
          <w:sz w:val="24"/>
          <w:szCs w:val="24"/>
        </w:rPr>
        <w:t xml:space="preserve"> η συρρίκνωση του α</w:t>
      </w:r>
      <w:r w:rsidR="0081069C">
        <w:rPr>
          <w:sz w:val="24"/>
          <w:szCs w:val="24"/>
        </w:rPr>
        <w:t xml:space="preserve">ριθμού των ενεργών οφειλετών θα βελτίωνε την εικόνα του Οργανισμού, μία προσεκτικότερη ανάλυση των δεδομένων διαψεύδει τα αρχικώς </w:t>
      </w:r>
      <w:r w:rsidR="0081069C" w:rsidRPr="00DD0418">
        <w:rPr>
          <w:sz w:val="24"/>
          <w:szCs w:val="24"/>
        </w:rPr>
        <w:t>συναχθέντα</w:t>
      </w:r>
      <w:r w:rsidR="0081069C">
        <w:rPr>
          <w:sz w:val="24"/>
          <w:szCs w:val="24"/>
        </w:rPr>
        <w:t xml:space="preserve"> συμπεράσματα. Κι αυτό γιατί μπορεί ο αριθμός των οφειλετών έως του ποσού των 20.000 </w:t>
      </w:r>
      <w:r w:rsidR="0081069C">
        <w:rPr>
          <w:rFonts w:cstheme="minorHAnsi"/>
          <w:sz w:val="24"/>
          <w:szCs w:val="24"/>
        </w:rPr>
        <w:t xml:space="preserve">€ να παρουσιάζει μία αξιόλογη πτώση περίπου κατά 21%, στον αντίποδα όμως η </w:t>
      </w:r>
      <w:r w:rsidR="00DF2329">
        <w:rPr>
          <w:rFonts w:cstheme="minorHAnsi"/>
          <w:sz w:val="24"/>
          <w:szCs w:val="24"/>
        </w:rPr>
        <w:t xml:space="preserve">δραματική </w:t>
      </w:r>
      <w:r w:rsidR="0081069C">
        <w:rPr>
          <w:rFonts w:cstheme="minorHAnsi"/>
          <w:sz w:val="24"/>
          <w:szCs w:val="24"/>
        </w:rPr>
        <w:t>α</w:t>
      </w:r>
      <w:r w:rsidR="00DF2329">
        <w:rPr>
          <w:rFonts w:cstheme="minorHAnsi"/>
          <w:sz w:val="24"/>
          <w:szCs w:val="24"/>
        </w:rPr>
        <w:t>ύξηση των υπόχρεων, με ποσά οφειλής άνω των 20.000 €, κυμαίνεται περίπου στο 55%, προκαλώντας ένα συνεχώς διογκούμενο κύμα ληξιπρόθεσμων οφειλών.</w:t>
      </w:r>
    </w:p>
    <w:p w:rsidR="00DF2329" w:rsidRPr="005C54A1" w:rsidRDefault="00DF2329" w:rsidP="0009566A">
      <w:pPr>
        <w:pStyle w:val="a6"/>
        <w:ind w:left="284"/>
        <w:contextualSpacing w:val="0"/>
        <w:jc w:val="both"/>
        <w:rPr>
          <w:rFonts w:cstheme="minorHAnsi"/>
          <w:sz w:val="24"/>
          <w:szCs w:val="24"/>
        </w:rPr>
      </w:pPr>
      <w:r>
        <w:rPr>
          <w:sz w:val="24"/>
          <w:szCs w:val="24"/>
        </w:rPr>
        <w:t xml:space="preserve">Όσον αφορά στο ύψος των </w:t>
      </w:r>
      <w:r w:rsidRPr="0009566A">
        <w:rPr>
          <w:b/>
          <w:sz w:val="24"/>
          <w:szCs w:val="24"/>
        </w:rPr>
        <w:t>ληξιπρόθεσμων οφειλών</w:t>
      </w:r>
      <w:r>
        <w:rPr>
          <w:sz w:val="24"/>
          <w:szCs w:val="24"/>
        </w:rPr>
        <w:t xml:space="preserve">, η εκτίναξή τους κατά 2,6 δις </w:t>
      </w:r>
      <w:r>
        <w:rPr>
          <w:rFonts w:cstheme="minorHAnsi"/>
          <w:sz w:val="24"/>
          <w:szCs w:val="24"/>
        </w:rPr>
        <w:t xml:space="preserve">€ σε χρονικό διάστημα μικρότερο των 2 ετών, αποτελεί την </w:t>
      </w:r>
      <w:r w:rsidR="00A9303E">
        <w:rPr>
          <w:rFonts w:cstheme="minorHAnsi"/>
          <w:sz w:val="24"/>
          <w:szCs w:val="24"/>
        </w:rPr>
        <w:t>κοινώς αποδεκτή</w:t>
      </w:r>
      <w:r>
        <w:rPr>
          <w:rFonts w:cstheme="minorHAnsi"/>
          <w:sz w:val="24"/>
          <w:szCs w:val="24"/>
        </w:rPr>
        <w:t xml:space="preserve"> «ανοιχτή πληγή» του ΟΑΕΕ, με την οικονομική αιμορραγία που προκαλείται στα έσοδα του Ταμείου να είναι ανυπολόγιστης σημασίας. </w:t>
      </w:r>
      <w:r w:rsidR="00735EA7">
        <w:rPr>
          <w:rFonts w:cstheme="minorHAnsi"/>
          <w:sz w:val="24"/>
          <w:szCs w:val="24"/>
        </w:rPr>
        <w:t xml:space="preserve">Πιο αναλυτικά, η υποχώρηση των οφειλόμενων έως 20.000 € ποσών κατά 150 εκ. €, </w:t>
      </w:r>
      <w:r w:rsidR="00735EA7" w:rsidRPr="00A9303E">
        <w:rPr>
          <w:rFonts w:cstheme="minorHAnsi"/>
          <w:sz w:val="24"/>
          <w:szCs w:val="24"/>
        </w:rPr>
        <w:t>υποσκελίζεται</w:t>
      </w:r>
      <w:r w:rsidR="00735EA7">
        <w:rPr>
          <w:rFonts w:cstheme="minorHAnsi"/>
          <w:sz w:val="24"/>
          <w:szCs w:val="24"/>
        </w:rPr>
        <w:t xml:space="preserve"> από την υπερδιπλάσια άνοδο κατά 2,55 δις € των οφειλομένων άνω των 20.000 € </w:t>
      </w:r>
      <w:r w:rsidR="00735EA7" w:rsidRPr="005C54A1">
        <w:rPr>
          <w:rFonts w:cstheme="minorHAnsi"/>
          <w:sz w:val="24"/>
          <w:szCs w:val="24"/>
        </w:rPr>
        <w:t>ποσών (αύξηση 63%).</w:t>
      </w:r>
    </w:p>
    <w:p w:rsidR="005C54A1" w:rsidRPr="00BE0F85" w:rsidRDefault="00DE36C6" w:rsidP="0009566A">
      <w:pPr>
        <w:pStyle w:val="a6"/>
        <w:ind w:left="284"/>
        <w:contextualSpacing w:val="0"/>
        <w:jc w:val="both"/>
        <w:rPr>
          <w:rFonts w:cstheme="minorHAnsi"/>
          <w:sz w:val="24"/>
          <w:szCs w:val="24"/>
        </w:rPr>
      </w:pPr>
      <w:r w:rsidRPr="005C54A1">
        <w:rPr>
          <w:rFonts w:cstheme="minorHAnsi"/>
          <w:sz w:val="24"/>
          <w:szCs w:val="24"/>
        </w:rPr>
        <w:t xml:space="preserve">Τα στοιχεία </w:t>
      </w:r>
      <w:r w:rsidR="001E5246" w:rsidRPr="005C54A1">
        <w:rPr>
          <w:rFonts w:cstheme="minorHAnsi"/>
          <w:sz w:val="24"/>
          <w:szCs w:val="24"/>
        </w:rPr>
        <w:t xml:space="preserve">που παρουσιάστηκαν παραπάνω καταδεικνύουν την ανάγκη για καθιέρωση μίας </w:t>
      </w:r>
      <w:r w:rsidR="001E5246" w:rsidRPr="0009566A">
        <w:rPr>
          <w:rFonts w:cstheme="minorHAnsi"/>
          <w:b/>
          <w:sz w:val="24"/>
          <w:szCs w:val="24"/>
        </w:rPr>
        <w:t>πραγματικής κεφαλαιοποίησης και παγώματος τ</w:t>
      </w:r>
      <w:r w:rsidR="00BE0F85" w:rsidRPr="0009566A">
        <w:rPr>
          <w:rFonts w:cstheme="minorHAnsi"/>
          <w:b/>
          <w:sz w:val="24"/>
          <w:szCs w:val="24"/>
        </w:rPr>
        <w:t>ων οφειλών</w:t>
      </w:r>
      <w:r w:rsidR="00BE0F85">
        <w:rPr>
          <w:rFonts w:cstheme="minorHAnsi"/>
          <w:sz w:val="24"/>
          <w:szCs w:val="24"/>
        </w:rPr>
        <w:t xml:space="preserve"> των ασφαλισμένων </w:t>
      </w:r>
      <w:r w:rsidR="001E5246" w:rsidRPr="0009566A">
        <w:rPr>
          <w:rFonts w:cstheme="minorHAnsi"/>
          <w:b/>
          <w:sz w:val="24"/>
          <w:szCs w:val="24"/>
        </w:rPr>
        <w:t>για ποσά που ξεπερνούν τις 20.000</w:t>
      </w:r>
      <w:r w:rsidR="001E5246" w:rsidRPr="005C54A1">
        <w:rPr>
          <w:rFonts w:cstheme="minorHAnsi"/>
          <w:sz w:val="24"/>
          <w:szCs w:val="24"/>
        </w:rPr>
        <w:t xml:space="preserve"> (κύρια οφειλή + </w:t>
      </w:r>
      <w:r w:rsidR="001E5246" w:rsidRPr="00BE0F85">
        <w:rPr>
          <w:rFonts w:cstheme="minorHAnsi"/>
          <w:sz w:val="24"/>
          <w:szCs w:val="24"/>
        </w:rPr>
        <w:t>προσαυξήσεις)</w:t>
      </w:r>
      <w:r w:rsidR="00BE0F85" w:rsidRPr="00BE0F85">
        <w:rPr>
          <w:rFonts w:cstheme="minorHAnsi"/>
          <w:sz w:val="24"/>
          <w:szCs w:val="24"/>
        </w:rPr>
        <w:t xml:space="preserve">, καθώς από το 2012 έως σήμερα, οι </w:t>
      </w:r>
      <w:r w:rsidR="00BE0F85">
        <w:rPr>
          <w:rFonts w:cstheme="minorHAnsi"/>
          <w:sz w:val="24"/>
          <w:szCs w:val="24"/>
        </w:rPr>
        <w:t xml:space="preserve">ο συνολικός αριθμός των </w:t>
      </w:r>
      <w:r w:rsidR="00BE0F85" w:rsidRPr="00BE0F85">
        <w:rPr>
          <w:rFonts w:cstheme="minorHAnsi"/>
          <w:sz w:val="24"/>
          <w:szCs w:val="24"/>
        </w:rPr>
        <w:t>συγκεκριμέν</w:t>
      </w:r>
      <w:r w:rsidR="00BE0F85">
        <w:rPr>
          <w:rFonts w:cstheme="minorHAnsi"/>
          <w:sz w:val="24"/>
          <w:szCs w:val="24"/>
        </w:rPr>
        <w:t>ων</w:t>
      </w:r>
      <w:r w:rsidR="00BE0F85" w:rsidRPr="00BE0F85">
        <w:rPr>
          <w:rFonts w:cstheme="minorHAnsi"/>
          <w:sz w:val="24"/>
          <w:szCs w:val="24"/>
        </w:rPr>
        <w:t xml:space="preserve"> οφειλ</w:t>
      </w:r>
      <w:r w:rsidR="00BE0F85">
        <w:rPr>
          <w:rFonts w:cstheme="minorHAnsi"/>
          <w:sz w:val="24"/>
          <w:szCs w:val="24"/>
        </w:rPr>
        <w:t>ετών</w:t>
      </w:r>
      <w:r w:rsidR="00BE0F85" w:rsidRPr="00BE0F85">
        <w:rPr>
          <w:rFonts w:cstheme="minorHAnsi"/>
          <w:sz w:val="24"/>
          <w:szCs w:val="24"/>
        </w:rPr>
        <w:t xml:space="preserve"> έχ</w:t>
      </w:r>
      <w:r w:rsidR="00BE0F85">
        <w:rPr>
          <w:rFonts w:cstheme="minorHAnsi"/>
          <w:sz w:val="24"/>
          <w:szCs w:val="24"/>
        </w:rPr>
        <w:t>ει</w:t>
      </w:r>
      <w:r w:rsidR="00BE0F85" w:rsidRPr="00BE0F85">
        <w:rPr>
          <w:rFonts w:cstheme="minorHAnsi"/>
          <w:sz w:val="24"/>
          <w:szCs w:val="24"/>
        </w:rPr>
        <w:t xml:space="preserve"> παρουσιάσει ιλιγγιώδη αύξηση που προσεγγίζει το 55%</w:t>
      </w:r>
      <w:r w:rsidR="001E5246" w:rsidRPr="00BE0F85">
        <w:rPr>
          <w:rFonts w:cstheme="minorHAnsi"/>
          <w:sz w:val="24"/>
          <w:szCs w:val="24"/>
        </w:rPr>
        <w:t xml:space="preserve">. </w:t>
      </w:r>
      <w:r w:rsidR="005C54A1" w:rsidRPr="00BE0F85">
        <w:rPr>
          <w:rFonts w:cstheme="minorHAnsi"/>
          <w:iCs/>
          <w:sz w:val="24"/>
          <w:szCs w:val="24"/>
        </w:rPr>
        <w:t>Η</w:t>
      </w:r>
      <w:r w:rsidR="00BE0F85">
        <w:rPr>
          <w:rFonts w:eastAsia="Calibri" w:cstheme="minorHAnsi"/>
          <w:iCs/>
          <w:sz w:val="24"/>
          <w:szCs w:val="24"/>
        </w:rPr>
        <w:t xml:space="preserve"> προοδευτική συσσώρευση των συγκεκριμένων οφειλών</w:t>
      </w:r>
      <w:r w:rsidR="005C54A1" w:rsidRPr="00BE0F85">
        <w:rPr>
          <w:rFonts w:eastAsia="Calibri" w:cstheme="minorHAnsi"/>
          <w:iCs/>
          <w:sz w:val="24"/>
          <w:szCs w:val="24"/>
        </w:rPr>
        <w:t xml:space="preserve"> είναι άμεσα συνδεδεμένη με την οικονομική δυσπραγία και την κατακόρυφη πτώση του τζίρου </w:t>
      </w:r>
      <w:r w:rsidR="00BE0F85">
        <w:rPr>
          <w:rFonts w:eastAsia="Calibri" w:cstheme="minorHAnsi"/>
          <w:iCs/>
          <w:sz w:val="24"/>
          <w:szCs w:val="24"/>
        </w:rPr>
        <w:t>τους.  Τα ειδικότερα χαρακτηριστικ</w:t>
      </w:r>
      <w:r w:rsidR="0009566A">
        <w:rPr>
          <w:rFonts w:eastAsia="Calibri" w:cstheme="minorHAnsi"/>
          <w:iCs/>
          <w:sz w:val="24"/>
          <w:szCs w:val="24"/>
        </w:rPr>
        <w:t xml:space="preserve">ά της </w:t>
      </w:r>
      <w:r w:rsidR="00EE6BD5">
        <w:rPr>
          <w:rFonts w:eastAsia="Calibri" w:cstheme="minorHAnsi"/>
          <w:iCs/>
          <w:sz w:val="24"/>
          <w:szCs w:val="24"/>
        </w:rPr>
        <w:t>πρότασής μας</w:t>
      </w:r>
      <w:r w:rsidR="00BE0F85">
        <w:rPr>
          <w:rFonts w:eastAsia="Calibri" w:cstheme="minorHAnsi"/>
          <w:iCs/>
          <w:sz w:val="24"/>
          <w:szCs w:val="24"/>
        </w:rPr>
        <w:t xml:space="preserve"> είναι τα εξής</w:t>
      </w:r>
      <w:r w:rsidR="005C54A1" w:rsidRPr="00BE0F85">
        <w:rPr>
          <w:rFonts w:cstheme="minorHAnsi"/>
          <w:iCs/>
          <w:sz w:val="24"/>
          <w:szCs w:val="24"/>
        </w:rPr>
        <w:t>:</w:t>
      </w:r>
    </w:p>
    <w:p w:rsidR="00BE0F85" w:rsidRDefault="005C54A1" w:rsidP="00BE0F85">
      <w:pPr>
        <w:pStyle w:val="a8"/>
        <w:numPr>
          <w:ilvl w:val="0"/>
          <w:numId w:val="5"/>
        </w:numPr>
        <w:spacing w:after="200" w:line="276" w:lineRule="auto"/>
        <w:rPr>
          <w:rFonts w:asciiTheme="minorHAnsi" w:hAnsiTheme="minorHAnsi" w:cstheme="minorHAnsi"/>
          <w:sz w:val="24"/>
        </w:rPr>
      </w:pPr>
      <w:r w:rsidRPr="005C54A1">
        <w:rPr>
          <w:rFonts w:asciiTheme="minorHAnsi" w:hAnsiTheme="minorHAnsi" w:cstheme="minorHAnsi"/>
          <w:sz w:val="24"/>
        </w:rPr>
        <w:t xml:space="preserve">Καθιέρωση μίας «πραγματικής» κεφαλαιοποίησης των μέχρι σήμερα </w:t>
      </w:r>
      <w:r w:rsidR="00BE0F85">
        <w:rPr>
          <w:rFonts w:asciiTheme="minorHAnsi" w:hAnsiTheme="minorHAnsi" w:cstheme="minorHAnsi"/>
          <w:sz w:val="24"/>
        </w:rPr>
        <w:t xml:space="preserve">- </w:t>
      </w:r>
      <w:r w:rsidRPr="005C54A1">
        <w:rPr>
          <w:rFonts w:asciiTheme="minorHAnsi" w:hAnsiTheme="minorHAnsi" w:cstheme="minorHAnsi"/>
          <w:sz w:val="24"/>
        </w:rPr>
        <w:t xml:space="preserve">ληξιπρόθεσμων οφειλών των ασφαλισμένων για τις οφειλές άνω των 20.000 €.  Η κεφαλαιοποίηση θα περιλαμβάνει όλες τις οφειλές σε ενιαίο κεφάλαιο, καθώς επίσης τις κάθε είδους προσαυξήσεις, πρόσθετα τέλη και λοιπές επιβαρύνσεις.  Από της κεφαλαιοποίησης και εφεξής, το ενιαίο κεφάλαιο θα επιβαρύνεται με ένα στοιχειώδες και τυπικό επιτόκιο ύψους 1%. </w:t>
      </w:r>
    </w:p>
    <w:p w:rsidR="00BE0F85" w:rsidRDefault="00BE0F85" w:rsidP="00BE0F85">
      <w:pPr>
        <w:pStyle w:val="a8"/>
        <w:numPr>
          <w:ilvl w:val="0"/>
          <w:numId w:val="5"/>
        </w:numPr>
        <w:spacing w:after="200" w:line="276" w:lineRule="auto"/>
        <w:rPr>
          <w:rFonts w:asciiTheme="minorHAnsi" w:hAnsiTheme="minorHAnsi" w:cstheme="minorHAnsi"/>
          <w:sz w:val="24"/>
        </w:rPr>
      </w:pPr>
      <w:r w:rsidRPr="00BE0F85">
        <w:rPr>
          <w:rFonts w:asciiTheme="minorHAnsi" w:hAnsiTheme="minorHAnsi" w:cstheme="minorHAnsi"/>
          <w:sz w:val="24"/>
        </w:rPr>
        <w:t xml:space="preserve">Κατά την συνταξιοδότηση, μετατροπή της κεφαλαιοποιημένης οφειλής σε ασφαλιστικό χρόνο με τελική επιλογή εξαγοράς ή μειωμένης σύνταξης εκ μέρους του ασφαλισμένου, η οποία δεν δημιουργεί ταμειακό έλλειμμα και λογιστικές απώλειες στον Οργανισμό.  Η πρόταση στηρίζεται επάνω στην </w:t>
      </w:r>
      <w:r w:rsidRPr="00BE0F85">
        <w:rPr>
          <w:rFonts w:asciiTheme="minorHAnsi" w:hAnsiTheme="minorHAnsi" w:cstheme="minorHAnsi"/>
          <w:sz w:val="24"/>
        </w:rPr>
        <w:lastRenderedPageBreak/>
        <w:t>αρχή ότι ο ασφαλισμένος, ως συνταξιούχος, θα εισπράξει τελικά την αναλογία αυτών που έχει δώσει προς τον ΟΑΕΕ και αυτό που οφείλει θα συνυπολογιστεί στο τελικό ύψος της σύνταξης που θα του δοθεί.  Όπως είναι αυτονόητο, εάν ένας ασφαλισμένος επιθυμεί να εξοφλήσει νωρίτερα από την σύνταξη την κεφαλαιοποιημένη οφειλή του, θα πρέπει να του παρέχεται το σχετικό δικαίωμα.</w:t>
      </w:r>
    </w:p>
    <w:p w:rsidR="00BE0F85" w:rsidRDefault="005C54A1" w:rsidP="00BE0F85">
      <w:pPr>
        <w:pStyle w:val="a8"/>
        <w:numPr>
          <w:ilvl w:val="0"/>
          <w:numId w:val="5"/>
        </w:numPr>
        <w:spacing w:after="200" w:line="276" w:lineRule="auto"/>
        <w:rPr>
          <w:rFonts w:asciiTheme="minorHAnsi" w:hAnsiTheme="minorHAnsi" w:cstheme="minorHAnsi"/>
          <w:sz w:val="24"/>
        </w:rPr>
      </w:pPr>
      <w:r w:rsidRPr="00BE0F85">
        <w:rPr>
          <w:rFonts w:asciiTheme="minorHAnsi" w:hAnsiTheme="minorHAnsi" w:cstheme="minorHAnsi"/>
          <w:sz w:val="24"/>
        </w:rPr>
        <w:t>Άμεση ένταξη στην υπάρχουσες ρυθμίσεις για τις οφειλές κάτω των 20.000 €.  Αναλογικές εκπτώσεις στο ύψος των προσαυξήσεων σε σχέση με τον χρόνο και τον όγκο κάλυψης των οφειλών.</w:t>
      </w:r>
    </w:p>
    <w:p w:rsidR="005C54A1" w:rsidRPr="00BE0F85" w:rsidRDefault="005C54A1" w:rsidP="00BE0F85">
      <w:pPr>
        <w:pStyle w:val="a8"/>
        <w:numPr>
          <w:ilvl w:val="0"/>
          <w:numId w:val="5"/>
        </w:numPr>
        <w:spacing w:after="200" w:line="276" w:lineRule="auto"/>
        <w:rPr>
          <w:rFonts w:asciiTheme="minorHAnsi" w:hAnsiTheme="minorHAnsi" w:cstheme="minorHAnsi"/>
          <w:sz w:val="24"/>
        </w:rPr>
      </w:pPr>
      <w:r w:rsidRPr="00BE0F85">
        <w:rPr>
          <w:rFonts w:asciiTheme="minorHAnsi" w:hAnsiTheme="minorHAnsi" w:cstheme="minorHAnsi"/>
          <w:sz w:val="24"/>
        </w:rPr>
        <w:t>Υποχρέωση άμεσης επανέναρξης καταβολής τρεχουσών εισφορών από τους οφειλέτες που κάνουν χρήση της κεφαλαιοποίησης, με παροχή δικαιώματος για ελεύθερη επιλογή ασφαλιστικής κλάσης σε αυτούς.</w:t>
      </w:r>
      <w:r w:rsidR="00BE0F85">
        <w:rPr>
          <w:rFonts w:asciiTheme="minorHAnsi" w:hAnsiTheme="minorHAnsi" w:cstheme="minorHAnsi"/>
          <w:sz w:val="24"/>
        </w:rPr>
        <w:t xml:space="preserve">  </w:t>
      </w:r>
      <w:r w:rsidRPr="00BE0F85">
        <w:rPr>
          <w:rFonts w:asciiTheme="minorHAnsi" w:eastAsia="Calibri" w:hAnsiTheme="minorHAnsi" w:cstheme="minorHAnsi"/>
          <w:iCs/>
          <w:sz w:val="24"/>
          <w:lang w:eastAsia="en-US"/>
        </w:rPr>
        <w:t>Για τους ενταχθέντες σε ευνοϊκό καθεστώς ρύθμισης οφειλών, θα πρέπει να παρέχεται προστασία έναντι των διώξεων (πάγωμα διώξεων) και η μη ένταξή τους στο Κ.Ε.Α.Ο.</w:t>
      </w:r>
    </w:p>
    <w:p w:rsidR="00735EA7" w:rsidRDefault="001E5246" w:rsidP="00BE0F85">
      <w:pPr>
        <w:pStyle w:val="a6"/>
        <w:ind w:left="284"/>
        <w:contextualSpacing w:val="0"/>
        <w:jc w:val="both"/>
        <w:rPr>
          <w:rFonts w:cstheme="minorHAnsi"/>
          <w:sz w:val="24"/>
          <w:szCs w:val="24"/>
        </w:rPr>
      </w:pPr>
      <w:r w:rsidRPr="00BE0F85">
        <w:rPr>
          <w:rFonts w:cstheme="minorHAnsi"/>
          <w:sz w:val="24"/>
          <w:szCs w:val="24"/>
        </w:rPr>
        <w:t xml:space="preserve">Η εν λόγω θέση έχει επανειλημμένως διατυπωθεί από την ΕΣΕΕ, καθώς με βάση το υφιστάμενο καθεστώς </w:t>
      </w:r>
      <w:r w:rsidR="009B7D1A" w:rsidRPr="00BE0F85">
        <w:rPr>
          <w:rFonts w:cstheme="minorHAnsi"/>
          <w:sz w:val="24"/>
          <w:szCs w:val="24"/>
        </w:rPr>
        <w:t>χιλιάδες ελεύθεροι επαγγελματίες κινδυνεύουν να μείνουν χωρίς σύνταξη, εξαιτίας της συ</w:t>
      </w:r>
      <w:r w:rsidR="003E4C6E" w:rsidRPr="00BE0F85">
        <w:rPr>
          <w:rFonts w:cstheme="minorHAnsi"/>
          <w:sz w:val="24"/>
          <w:szCs w:val="24"/>
        </w:rPr>
        <w:t xml:space="preserve">σσώρευσης ληξιπρόθεσμων οφειλών, ως άμεσου απότοκου της οικονομικής κρίσης. Η διεύρυνση του συγκεκριμένου ορίου στην ουσία </w:t>
      </w:r>
      <w:r w:rsidR="00D52168" w:rsidRPr="00BE0F85">
        <w:rPr>
          <w:rFonts w:cstheme="minorHAnsi"/>
          <w:sz w:val="24"/>
          <w:szCs w:val="24"/>
        </w:rPr>
        <w:t xml:space="preserve">αποσκοπεί στη διασφάλιση όσο το δυνατόν περισσότερων επιτηδευματιών, οι οποίοι χωρίς να ευθύνονται βίωσαν με τον πιο βάναυσο τρόπο τις συνέπειες της εξαετούς ύφεσης (μείωση καταναλωτικής δαπάνης-τζίρου, περιορισμένη πρόσβαση σε ρευστότητα, υπέρμετρες φορολογικές επιβαρύνσεις κ.α.). </w:t>
      </w:r>
    </w:p>
    <w:p w:rsidR="009E0A2A" w:rsidRPr="009E0A2A" w:rsidRDefault="009E0A2A" w:rsidP="00BE0F85">
      <w:pPr>
        <w:pStyle w:val="a6"/>
        <w:ind w:left="284"/>
        <w:contextualSpacing w:val="0"/>
        <w:jc w:val="both"/>
        <w:rPr>
          <w:rFonts w:cstheme="minorHAnsi"/>
          <w:b/>
          <w:i/>
          <w:sz w:val="26"/>
          <w:szCs w:val="26"/>
          <w:u w:val="single"/>
        </w:rPr>
      </w:pPr>
      <w:r>
        <w:rPr>
          <w:rFonts w:cstheme="minorHAnsi"/>
          <w:b/>
          <w:i/>
          <w:sz w:val="26"/>
          <w:szCs w:val="26"/>
          <w:u w:val="single"/>
        </w:rPr>
        <w:t>Επανε</w:t>
      </w:r>
      <w:r w:rsidRPr="009E0A2A">
        <w:rPr>
          <w:rFonts w:cstheme="minorHAnsi"/>
          <w:b/>
          <w:i/>
          <w:sz w:val="26"/>
          <w:szCs w:val="26"/>
          <w:u w:val="single"/>
        </w:rPr>
        <w:t>νεργοποίηση διακοψάντων οφειλετών</w:t>
      </w:r>
    </w:p>
    <w:p w:rsidR="00081F88" w:rsidRPr="00371F57" w:rsidRDefault="0024002B" w:rsidP="00BE0F85">
      <w:pPr>
        <w:pStyle w:val="a6"/>
        <w:numPr>
          <w:ilvl w:val="0"/>
          <w:numId w:val="8"/>
        </w:numPr>
        <w:spacing w:after="120" w:line="360" w:lineRule="atLeast"/>
        <w:ind w:left="283" w:hanging="567"/>
        <w:contextualSpacing w:val="0"/>
        <w:jc w:val="both"/>
        <w:rPr>
          <w:rFonts w:ascii="Calibri" w:hAnsi="Calibri" w:cs="Calibri"/>
          <w:i/>
          <w:color w:val="000000"/>
          <w:sz w:val="30"/>
          <w:szCs w:val="30"/>
        </w:rPr>
      </w:pPr>
      <w:r w:rsidRPr="003E11C0">
        <w:rPr>
          <w:rFonts w:cstheme="minorHAnsi"/>
          <w:sz w:val="24"/>
          <w:szCs w:val="24"/>
        </w:rPr>
        <w:t>Τέλος, ακόμη ένας παράγοντας που έχει συντελέσει στ</w:t>
      </w:r>
      <w:r w:rsidR="0072077C" w:rsidRPr="003E11C0">
        <w:rPr>
          <w:rFonts w:cstheme="minorHAnsi"/>
          <w:sz w:val="24"/>
          <w:szCs w:val="24"/>
        </w:rPr>
        <w:t xml:space="preserve">ην καταβαράθρωση των εισπραττόμενων από το Ταμείο πόρων, συσχετίζεται με </w:t>
      </w:r>
      <w:r w:rsidR="00A9303E">
        <w:rPr>
          <w:rFonts w:cstheme="minorHAnsi"/>
          <w:sz w:val="24"/>
          <w:szCs w:val="24"/>
        </w:rPr>
        <w:t>τον αριθμό</w:t>
      </w:r>
      <w:r w:rsidR="0072077C" w:rsidRPr="003E11C0">
        <w:rPr>
          <w:rFonts w:cstheme="minorHAnsi"/>
          <w:sz w:val="24"/>
          <w:szCs w:val="24"/>
        </w:rPr>
        <w:t xml:space="preserve"> των ανενεργών (διακόψαντων) οφειλετών του ΟΑΕΕ, ο οποίος με βάση τις τελευταίες εκτιμήσεις </w:t>
      </w:r>
      <w:r w:rsidR="00A9303E">
        <w:rPr>
          <w:rFonts w:cstheme="minorHAnsi"/>
          <w:sz w:val="24"/>
          <w:szCs w:val="24"/>
        </w:rPr>
        <w:t xml:space="preserve">έχει </w:t>
      </w:r>
      <w:r w:rsidR="0009566A">
        <w:rPr>
          <w:rFonts w:cstheme="minorHAnsi"/>
          <w:sz w:val="24"/>
          <w:szCs w:val="24"/>
        </w:rPr>
        <w:t>αυξηθεί</w:t>
      </w:r>
      <w:r w:rsidR="00A9303E">
        <w:rPr>
          <w:rFonts w:cstheme="minorHAnsi"/>
          <w:sz w:val="24"/>
          <w:szCs w:val="24"/>
        </w:rPr>
        <w:t xml:space="preserve"> σε επίπεδα άνω των 40.000 (41.410) υπόχρεων, σε σχέση με τα τέλη του 2012.</w:t>
      </w:r>
      <w:r w:rsidR="0009566A">
        <w:rPr>
          <w:rFonts w:cstheme="minorHAnsi"/>
          <w:sz w:val="24"/>
          <w:szCs w:val="24"/>
        </w:rPr>
        <w:t xml:space="preserve"> Τούτων δοθέντων</w:t>
      </w:r>
      <w:r w:rsidR="00EE6BD5">
        <w:rPr>
          <w:rFonts w:cstheme="minorHAnsi"/>
          <w:sz w:val="24"/>
          <w:szCs w:val="24"/>
        </w:rPr>
        <w:t xml:space="preserve">, η πρόταση της ΕΣΕΕ, η αφομοίωση της οποίας αναμένεται να προσδώσει άμεση λύση στην περιορισμένη ρευστότητα του ταμείου, εστιάζει στην ενεργοποίηση των διακοψάντων οφειλετών μέσω της ένταξης του συνολικού αριθμού αυτών στην μικρότερη ασφαλιστική κατηγορία απόδοσης εισφορών. Απαραίτητη προϋπόθεση </w:t>
      </w:r>
      <w:r w:rsidR="005E0713">
        <w:rPr>
          <w:rFonts w:cstheme="minorHAnsi"/>
          <w:sz w:val="24"/>
          <w:szCs w:val="24"/>
        </w:rPr>
        <w:t xml:space="preserve">εφαρμογής της συγκεκριμένης πρότασης συνιστά η υποχρέωση αδιάλειπτης καταβολής των τρεχουσών και των </w:t>
      </w:r>
      <w:r w:rsidR="005E0713" w:rsidRPr="009E0A2A">
        <w:rPr>
          <w:rFonts w:cstheme="minorHAnsi"/>
          <w:sz w:val="24"/>
          <w:szCs w:val="24"/>
        </w:rPr>
        <w:t>επικείμενων</w:t>
      </w:r>
      <w:r w:rsidR="005E0713">
        <w:rPr>
          <w:rFonts w:cstheme="minorHAnsi"/>
          <w:sz w:val="24"/>
          <w:szCs w:val="24"/>
        </w:rPr>
        <w:t xml:space="preserve"> </w:t>
      </w:r>
      <w:r w:rsidR="005E0713" w:rsidRPr="00BE0F85">
        <w:rPr>
          <w:rFonts w:cstheme="minorHAnsi"/>
          <w:sz w:val="24"/>
        </w:rPr>
        <w:t xml:space="preserve">εισφορών από τους </w:t>
      </w:r>
      <w:r w:rsidR="005E0713">
        <w:rPr>
          <w:rFonts w:cstheme="minorHAnsi"/>
          <w:sz w:val="24"/>
        </w:rPr>
        <w:t>ενταχθέντες στη σχετική ρύθμιση.</w:t>
      </w:r>
      <w:r w:rsidR="00371F57" w:rsidRPr="00371F57">
        <w:rPr>
          <w:rFonts w:cstheme="minorHAnsi"/>
          <w:sz w:val="24"/>
        </w:rPr>
        <w:t xml:space="preserve">  </w:t>
      </w:r>
      <w:r w:rsidR="00371F57">
        <w:rPr>
          <w:rFonts w:cstheme="minorHAnsi"/>
          <w:sz w:val="24"/>
        </w:rPr>
        <w:t xml:space="preserve">Η </w:t>
      </w:r>
      <w:proofErr w:type="spellStart"/>
      <w:r w:rsidR="00371F57">
        <w:rPr>
          <w:rFonts w:cstheme="minorHAnsi"/>
          <w:sz w:val="24"/>
        </w:rPr>
        <w:t>επανενεργοποίηση</w:t>
      </w:r>
      <w:proofErr w:type="spellEnd"/>
      <w:r w:rsidR="00371F57">
        <w:rPr>
          <w:rFonts w:cstheme="minorHAnsi"/>
          <w:sz w:val="24"/>
        </w:rPr>
        <w:t xml:space="preserve"> των ανενεργών οφειλετών μπορεί να γίνει είτε με ένταξή </w:t>
      </w:r>
      <w:r w:rsidR="00371F57" w:rsidRPr="00371F57">
        <w:rPr>
          <w:rFonts w:cstheme="minorHAnsi"/>
          <w:sz w:val="24"/>
        </w:rPr>
        <w:lastRenderedPageBreak/>
        <w:t>τους στην χαμηλότερη ασφαλιστική κατηγορία των παλαιών ασφαλισμένων του ΟΑΕΕ, είτε με ένταξή τους στην κατηγορία των νέων ασφαλισμένων.</w:t>
      </w:r>
    </w:p>
    <w:p w:rsidR="00371F57" w:rsidRDefault="00371F57" w:rsidP="00371F57">
      <w:pPr>
        <w:pStyle w:val="a6"/>
        <w:spacing w:after="120" w:line="360" w:lineRule="atLeast"/>
        <w:ind w:left="283"/>
        <w:contextualSpacing w:val="0"/>
        <w:jc w:val="both"/>
        <w:rPr>
          <w:rFonts w:cstheme="minorHAnsi"/>
          <w:sz w:val="24"/>
          <w:szCs w:val="24"/>
        </w:rPr>
      </w:pPr>
      <w:r w:rsidRPr="00371F57">
        <w:rPr>
          <w:rFonts w:cstheme="minorHAnsi"/>
          <w:sz w:val="24"/>
        </w:rPr>
        <w:t>Στην πρώτη περίπτωση (παλαιοί ασφαλισμένοι)</w:t>
      </w:r>
      <w:r w:rsidR="00081F88" w:rsidRPr="00371F57">
        <w:rPr>
          <w:rFonts w:cstheme="minorHAnsi"/>
          <w:sz w:val="24"/>
          <w:szCs w:val="24"/>
        </w:rPr>
        <w:t xml:space="preserve">, με βάση τα τελευταία διαθέσιμα στοιχεία </w:t>
      </w:r>
      <w:r w:rsidRPr="00371F57">
        <w:rPr>
          <w:rFonts w:cstheme="minorHAnsi"/>
          <w:sz w:val="24"/>
          <w:szCs w:val="24"/>
        </w:rPr>
        <w:t>του ΟΑΕΕ, η αποδοχή της πρότασή</w:t>
      </w:r>
      <w:r w:rsidR="00081F88" w:rsidRPr="00371F57">
        <w:rPr>
          <w:rFonts w:cstheme="minorHAnsi"/>
          <w:sz w:val="24"/>
          <w:szCs w:val="24"/>
        </w:rPr>
        <w:t xml:space="preserve">ς </w:t>
      </w:r>
      <w:r w:rsidRPr="00371F57">
        <w:rPr>
          <w:rFonts w:cstheme="minorHAnsi"/>
          <w:sz w:val="24"/>
          <w:szCs w:val="24"/>
        </w:rPr>
        <w:t xml:space="preserve">μας </w:t>
      </w:r>
      <w:r w:rsidR="00081F88" w:rsidRPr="00371F57">
        <w:rPr>
          <w:rFonts w:cstheme="minorHAnsi"/>
          <w:sz w:val="24"/>
          <w:szCs w:val="24"/>
        </w:rPr>
        <w:t xml:space="preserve">θα </w:t>
      </w:r>
      <w:r w:rsidR="00A032C6" w:rsidRPr="00371F57">
        <w:rPr>
          <w:rFonts w:cstheme="minorHAnsi"/>
          <w:sz w:val="24"/>
          <w:szCs w:val="24"/>
        </w:rPr>
        <w:t>διασφαλίσει επιπρόσθετα μηνιαία έσοδα στα ταμεία του</w:t>
      </w:r>
      <w:r w:rsidR="00081F88" w:rsidRPr="00371F57">
        <w:rPr>
          <w:rFonts w:cstheme="minorHAnsi"/>
          <w:sz w:val="24"/>
          <w:szCs w:val="24"/>
        </w:rPr>
        <w:t xml:space="preserve"> ΟΑΕΕ,  ύψους περίπου </w:t>
      </w:r>
      <w:r w:rsidR="00AE54F8" w:rsidRPr="00371F57">
        <w:rPr>
          <w:rFonts w:cstheme="minorHAnsi"/>
          <w:sz w:val="24"/>
          <w:szCs w:val="24"/>
        </w:rPr>
        <w:t>58</w:t>
      </w:r>
      <w:r w:rsidR="00081F88" w:rsidRPr="00371F57">
        <w:rPr>
          <w:rFonts w:cstheme="minorHAnsi"/>
          <w:sz w:val="24"/>
          <w:szCs w:val="24"/>
        </w:rPr>
        <w:t>,</w:t>
      </w:r>
      <w:r w:rsidR="00AE54F8" w:rsidRPr="00371F57">
        <w:rPr>
          <w:rFonts w:cstheme="minorHAnsi"/>
          <w:sz w:val="24"/>
          <w:szCs w:val="24"/>
        </w:rPr>
        <w:t>1</w:t>
      </w:r>
      <w:r w:rsidR="00081F88" w:rsidRPr="00371F57">
        <w:rPr>
          <w:rFonts w:cstheme="minorHAnsi"/>
          <w:sz w:val="24"/>
          <w:szCs w:val="24"/>
        </w:rPr>
        <w:t xml:space="preserve"> </w:t>
      </w:r>
      <w:r w:rsidR="00AE54F8" w:rsidRPr="00371F57">
        <w:rPr>
          <w:rFonts w:cstheme="minorHAnsi"/>
          <w:sz w:val="24"/>
          <w:szCs w:val="24"/>
        </w:rPr>
        <w:t>εκ.</w:t>
      </w:r>
      <w:r w:rsidR="00081F88" w:rsidRPr="00371F57">
        <w:rPr>
          <w:rFonts w:cstheme="minorHAnsi"/>
          <w:sz w:val="24"/>
          <w:szCs w:val="24"/>
        </w:rPr>
        <w:t xml:space="preserve"> ευρώ σε περίπτωση συμμετοχής των οφειλετών κατά 100%, </w:t>
      </w:r>
      <w:r w:rsidR="00AE54F8" w:rsidRPr="00371F57">
        <w:rPr>
          <w:rFonts w:cstheme="minorHAnsi"/>
          <w:sz w:val="24"/>
          <w:szCs w:val="24"/>
        </w:rPr>
        <w:t>46,5 εκ.</w:t>
      </w:r>
      <w:r w:rsidR="00081F88" w:rsidRPr="00371F57">
        <w:rPr>
          <w:rFonts w:cstheme="minorHAnsi"/>
          <w:sz w:val="24"/>
          <w:szCs w:val="24"/>
        </w:rPr>
        <w:t xml:space="preserve"> ευρώ σε περίπτωση συμμετοχής του 80% των ενεργών ασφαλισμένων, </w:t>
      </w:r>
      <w:r w:rsidR="00AE54F8" w:rsidRPr="00371F57">
        <w:rPr>
          <w:rFonts w:cstheme="minorHAnsi"/>
          <w:sz w:val="24"/>
          <w:szCs w:val="24"/>
        </w:rPr>
        <w:t>37,8</w:t>
      </w:r>
      <w:r w:rsidR="00081F88" w:rsidRPr="00371F57">
        <w:rPr>
          <w:rFonts w:cstheme="minorHAnsi"/>
          <w:sz w:val="24"/>
          <w:szCs w:val="24"/>
        </w:rPr>
        <w:t xml:space="preserve"> εκ. ευρώ εάν το ποσοστό συμμετοχής των υπόχρεων προσεγγίσει το 65% και </w:t>
      </w:r>
      <w:r w:rsidR="00AE54F8" w:rsidRPr="00371F57">
        <w:rPr>
          <w:rFonts w:cstheme="minorHAnsi"/>
          <w:sz w:val="24"/>
          <w:szCs w:val="24"/>
        </w:rPr>
        <w:t>29,1</w:t>
      </w:r>
      <w:r w:rsidR="00081F88" w:rsidRPr="00371F57">
        <w:rPr>
          <w:rFonts w:cstheme="minorHAnsi"/>
          <w:sz w:val="24"/>
          <w:szCs w:val="24"/>
        </w:rPr>
        <w:t xml:space="preserve"> εκ. ευρώ σε περίπτωση συμμ</w:t>
      </w:r>
      <w:r w:rsidR="00AE54F8" w:rsidRPr="00371F57">
        <w:rPr>
          <w:rFonts w:cstheme="minorHAnsi"/>
          <w:sz w:val="24"/>
          <w:szCs w:val="24"/>
        </w:rPr>
        <w:t xml:space="preserve">ετοχής του 50% των ασφαλισμένων. </w:t>
      </w:r>
      <w:r w:rsidR="00437B40" w:rsidRPr="00371F57">
        <w:rPr>
          <w:rFonts w:cstheme="minorHAnsi"/>
          <w:sz w:val="24"/>
          <w:szCs w:val="24"/>
        </w:rPr>
        <w:t>Σε ετήσια βάση τα παραπάνω ποσά διαμορφώνονται στα 697,3 εκ. ευρώ σε περίπτωση συμμετοχής των οφειλετών κατά 100%, στα 557,9 εκ. ευρώ σε περίπτωση συμμετοχής του 80% των ενεργών ασφαλισμένων, στα 453,3 εκ. ευρώ εάν το ποσοστό συμμετοχής των υπόχρεων προσεγγίσει το 65% και στα 348,7 εκ. ευρώ σε περίπτωση συμμετοχής του 50% των ασφαλισμένων.</w:t>
      </w:r>
    </w:p>
    <w:p w:rsidR="00371F57" w:rsidRDefault="00371F57" w:rsidP="00371F57">
      <w:pPr>
        <w:pStyle w:val="a6"/>
        <w:spacing w:after="120" w:line="360" w:lineRule="atLeast"/>
        <w:ind w:left="283"/>
        <w:contextualSpacing w:val="0"/>
        <w:jc w:val="both"/>
        <w:rPr>
          <w:rFonts w:cstheme="minorHAnsi"/>
          <w:sz w:val="24"/>
          <w:szCs w:val="24"/>
        </w:rPr>
      </w:pPr>
      <w:r w:rsidRPr="00371F57">
        <w:rPr>
          <w:rFonts w:cstheme="minorHAnsi"/>
          <w:sz w:val="24"/>
          <w:szCs w:val="24"/>
        </w:rPr>
        <w:t>Στην δεύτερη περίπτωση (νέοι ασφαλισμένοι)</w:t>
      </w:r>
      <w:r w:rsidR="00EF4E5A" w:rsidRPr="00371F57">
        <w:rPr>
          <w:rFonts w:cstheme="minorHAnsi"/>
          <w:sz w:val="24"/>
          <w:szCs w:val="24"/>
        </w:rPr>
        <w:t>, με βάση τα τελευταία διαθέσιμα στοιχεία του ΟΑΕΕ,</w:t>
      </w:r>
      <w:r w:rsidRPr="00371F57">
        <w:rPr>
          <w:rFonts w:cstheme="minorHAnsi"/>
          <w:sz w:val="24"/>
          <w:szCs w:val="24"/>
        </w:rPr>
        <w:t xml:space="preserve"> η αποδοχή της πρότασής μας</w:t>
      </w:r>
      <w:r w:rsidR="00EF4E5A" w:rsidRPr="00371F57">
        <w:rPr>
          <w:rFonts w:cstheme="minorHAnsi"/>
          <w:sz w:val="24"/>
          <w:szCs w:val="24"/>
        </w:rPr>
        <w:t xml:space="preserve"> θα διασφαλίσει επιπρόσθετα μηνιαία έσοδα στα ταμεία του ΟΑΕΕ,  ύψους περίπου 49,9 εκ. ευρώ σε περίπτωση συμμετοχής των οφειλετών κατά 100%, 40,0 εκ. ευρώ σε περίπτωση συμμετοχής του 80% των ενεργών ασφαλισμένων, 32,5 εκ. ευρώ εάν το ποσοστό συμμετοχής των υπόχρεων προσεγγίσει το 65% και 25,0 εκ. ευρώ σε περίπτωση συμμετοχής του 50% των ασφαλισμένων.</w:t>
      </w:r>
      <w:r w:rsidR="00437B40" w:rsidRPr="00371F57">
        <w:rPr>
          <w:rFonts w:cstheme="minorHAnsi"/>
          <w:sz w:val="24"/>
          <w:szCs w:val="24"/>
        </w:rPr>
        <w:t xml:space="preserve"> Σε ετήσια βάση τα παραπάνω ποσά διαμορφώνονται στα 599,3 εκ. ευρώ σε περίπτωση συμμετοχής των οφειλετών κατά 100%, στα 479,4 εκ. ευρώ σε περίπτωση συμμετοχής του 80% των ενεργών ασφαλισμένων, στα 389,5 εκ. ευρώ εάν το ποσοστό συμμετοχής των υπόχρεων προσεγγίσει το 65% και στα 299,6 εκ. ευρώ σε περίπτωση συμμετοχής του 50% των ασφαλισμένων.</w:t>
      </w:r>
    </w:p>
    <w:p w:rsidR="00437B40" w:rsidRPr="00371F57" w:rsidRDefault="00437B40" w:rsidP="00371F57">
      <w:pPr>
        <w:pStyle w:val="a6"/>
        <w:spacing w:after="120" w:line="360" w:lineRule="atLeast"/>
        <w:ind w:left="283"/>
        <w:contextualSpacing w:val="0"/>
        <w:jc w:val="both"/>
        <w:rPr>
          <w:rFonts w:ascii="Calibri" w:hAnsi="Calibri" w:cs="Calibri"/>
          <w:i/>
          <w:color w:val="000000"/>
          <w:sz w:val="30"/>
          <w:szCs w:val="30"/>
        </w:rPr>
      </w:pPr>
      <w:r w:rsidRPr="00371F57">
        <w:rPr>
          <w:rFonts w:cstheme="minorHAnsi"/>
          <w:sz w:val="24"/>
          <w:szCs w:val="24"/>
        </w:rPr>
        <w:t>Όπως γίνεται εύκολα αντιληπτό</w:t>
      </w:r>
      <w:r w:rsidR="00371F57" w:rsidRPr="00371F57">
        <w:rPr>
          <w:rFonts w:cstheme="minorHAnsi"/>
          <w:sz w:val="24"/>
          <w:szCs w:val="24"/>
        </w:rPr>
        <w:t>, οποιαδήποτε από τις δύο λύσεις και αν επιλεγεί,</w:t>
      </w:r>
      <w:r w:rsidRPr="00371F57">
        <w:rPr>
          <w:rFonts w:cstheme="minorHAnsi"/>
          <w:sz w:val="24"/>
          <w:szCs w:val="24"/>
        </w:rPr>
        <w:t xml:space="preserve"> η απαλλαγμένη από πρόσθετο κόστος για τον προϋπολογισμό του Ταμείου θέση της ΕΣΕΕ, δύναται να αποτελέσει σημαντική ένεση ρευστότητας και βάση επίλυσης σημαντικών οικονομικών αδιεξόδων που αντιμετωπίζει σήμερα ο ΟΑΕΕ. </w:t>
      </w:r>
    </w:p>
    <w:p w:rsidR="009E0A2A" w:rsidRPr="00437B40" w:rsidRDefault="009E0A2A" w:rsidP="009E0A2A">
      <w:pPr>
        <w:pStyle w:val="a6"/>
        <w:spacing w:after="0" w:line="320" w:lineRule="atLeast"/>
        <w:ind w:left="284"/>
        <w:jc w:val="both"/>
        <w:rPr>
          <w:rFonts w:cstheme="minorHAnsi"/>
          <w:sz w:val="24"/>
          <w:szCs w:val="24"/>
        </w:rPr>
      </w:pPr>
    </w:p>
    <w:p w:rsidR="008D4EBB" w:rsidRPr="00E06D88" w:rsidRDefault="00E60082" w:rsidP="00934C36">
      <w:pPr>
        <w:rPr>
          <w:b/>
          <w:sz w:val="26"/>
          <w:szCs w:val="26"/>
          <w:u w:val="single"/>
        </w:rPr>
      </w:pPr>
      <w:r>
        <w:rPr>
          <w:b/>
          <w:sz w:val="30"/>
          <w:szCs w:val="30"/>
          <w:u w:val="single"/>
        </w:rPr>
        <w:t>Β</w:t>
      </w:r>
      <w:r w:rsidR="00934C36" w:rsidRPr="00E06D88">
        <w:rPr>
          <w:b/>
          <w:sz w:val="30"/>
          <w:szCs w:val="30"/>
          <w:u w:val="single"/>
        </w:rPr>
        <w:t>.</w:t>
      </w:r>
      <w:r w:rsidR="00934C36" w:rsidRPr="00E06D88">
        <w:rPr>
          <w:sz w:val="30"/>
          <w:szCs w:val="30"/>
          <w:u w:val="single"/>
        </w:rPr>
        <w:t xml:space="preserve"> </w:t>
      </w:r>
      <w:r w:rsidR="00934C36" w:rsidRPr="00E06D88">
        <w:rPr>
          <w:b/>
          <w:sz w:val="26"/>
          <w:szCs w:val="26"/>
          <w:u w:val="single"/>
        </w:rPr>
        <w:t>Έσοδα ΟΑΕΕ από ασφαλιστικές εισφορές</w:t>
      </w:r>
      <w:r w:rsidR="00B67992" w:rsidRPr="00E06D88">
        <w:rPr>
          <w:b/>
          <w:sz w:val="26"/>
          <w:szCs w:val="26"/>
          <w:u w:val="single"/>
        </w:rPr>
        <w:t>:</w:t>
      </w:r>
    </w:p>
    <w:tbl>
      <w:tblPr>
        <w:tblStyle w:val="a3"/>
        <w:tblW w:w="7058" w:type="dxa"/>
        <w:tblInd w:w="108" w:type="dxa"/>
        <w:tblLook w:val="04A0"/>
      </w:tblPr>
      <w:tblGrid>
        <w:gridCol w:w="2943"/>
        <w:gridCol w:w="1704"/>
        <w:gridCol w:w="2411"/>
      </w:tblGrid>
      <w:tr w:rsidR="00B67992" w:rsidTr="00542A01">
        <w:trPr>
          <w:trHeight w:val="301"/>
        </w:trPr>
        <w:tc>
          <w:tcPr>
            <w:tcW w:w="7058" w:type="dxa"/>
            <w:gridSpan w:val="3"/>
            <w:shd w:val="clear" w:color="auto" w:fill="BFBFBF" w:themeFill="background1" w:themeFillShade="BF"/>
            <w:vAlign w:val="center"/>
          </w:tcPr>
          <w:p w:rsidR="00B67992" w:rsidRDefault="00B67992" w:rsidP="00E60082">
            <w:pPr>
              <w:jc w:val="center"/>
              <w:rPr>
                <w:sz w:val="30"/>
                <w:szCs w:val="30"/>
              </w:rPr>
            </w:pPr>
            <w:r w:rsidRPr="00B67992">
              <w:rPr>
                <w:b/>
                <w:i/>
                <w:sz w:val="26"/>
                <w:szCs w:val="26"/>
              </w:rPr>
              <w:t xml:space="preserve">Πίνακας </w:t>
            </w:r>
            <w:r w:rsidR="00E60082">
              <w:rPr>
                <w:b/>
                <w:i/>
                <w:sz w:val="26"/>
                <w:szCs w:val="26"/>
              </w:rPr>
              <w:t>2</w:t>
            </w:r>
            <w:r w:rsidRPr="00B67992">
              <w:rPr>
                <w:b/>
                <w:i/>
                <w:sz w:val="26"/>
                <w:szCs w:val="26"/>
              </w:rPr>
              <w:t>:</w:t>
            </w:r>
            <w:r>
              <w:rPr>
                <w:sz w:val="30"/>
                <w:szCs w:val="30"/>
              </w:rPr>
              <w:t xml:space="preserve"> </w:t>
            </w:r>
            <w:r w:rsidRPr="00AC781B">
              <w:rPr>
                <w:sz w:val="24"/>
                <w:szCs w:val="24"/>
              </w:rPr>
              <w:t>Έσοδα ΟΑΕΕ από ασφαλιστικές εισφορές</w:t>
            </w:r>
          </w:p>
        </w:tc>
      </w:tr>
      <w:tr w:rsidR="00934C36" w:rsidTr="00EE567C">
        <w:tc>
          <w:tcPr>
            <w:tcW w:w="2943" w:type="dxa"/>
            <w:vAlign w:val="center"/>
          </w:tcPr>
          <w:p w:rsidR="00934C36" w:rsidRPr="00B67992" w:rsidRDefault="00934C36" w:rsidP="00934C36">
            <w:pPr>
              <w:jc w:val="center"/>
              <w:rPr>
                <w:b/>
                <w:sz w:val="24"/>
                <w:szCs w:val="24"/>
              </w:rPr>
            </w:pPr>
            <w:r w:rsidRPr="00B67992">
              <w:rPr>
                <w:b/>
                <w:sz w:val="24"/>
                <w:szCs w:val="24"/>
              </w:rPr>
              <w:t>2014</w:t>
            </w:r>
          </w:p>
        </w:tc>
        <w:tc>
          <w:tcPr>
            <w:tcW w:w="1704" w:type="dxa"/>
            <w:vAlign w:val="center"/>
          </w:tcPr>
          <w:p w:rsidR="00934C36" w:rsidRPr="00B67992" w:rsidRDefault="00934C36" w:rsidP="00934C36">
            <w:pPr>
              <w:jc w:val="center"/>
              <w:rPr>
                <w:b/>
                <w:sz w:val="24"/>
                <w:szCs w:val="24"/>
              </w:rPr>
            </w:pPr>
            <w:r w:rsidRPr="00B67992">
              <w:rPr>
                <w:b/>
                <w:sz w:val="24"/>
                <w:szCs w:val="24"/>
              </w:rPr>
              <w:t>Ποσά σε εκ. €</w:t>
            </w:r>
          </w:p>
        </w:tc>
        <w:tc>
          <w:tcPr>
            <w:tcW w:w="2411" w:type="dxa"/>
            <w:vAlign w:val="center"/>
          </w:tcPr>
          <w:p w:rsidR="00934C36" w:rsidRPr="00B67992" w:rsidRDefault="00934C36" w:rsidP="00934C36">
            <w:pPr>
              <w:jc w:val="center"/>
              <w:rPr>
                <w:b/>
                <w:sz w:val="24"/>
                <w:szCs w:val="24"/>
              </w:rPr>
            </w:pPr>
            <w:r w:rsidRPr="00B67992">
              <w:rPr>
                <w:b/>
                <w:sz w:val="24"/>
                <w:szCs w:val="24"/>
              </w:rPr>
              <w:t>Ετήσια μεταβολή (%) 2014/2013</w:t>
            </w:r>
          </w:p>
        </w:tc>
      </w:tr>
      <w:tr w:rsidR="00934C36" w:rsidTr="00EE567C">
        <w:tc>
          <w:tcPr>
            <w:tcW w:w="2943" w:type="dxa"/>
          </w:tcPr>
          <w:p w:rsidR="00934C36" w:rsidRPr="00934C36" w:rsidRDefault="00934C36" w:rsidP="00934C36">
            <w:pPr>
              <w:rPr>
                <w:sz w:val="24"/>
                <w:szCs w:val="24"/>
              </w:rPr>
            </w:pPr>
            <w:r w:rsidRPr="00934C36">
              <w:rPr>
                <w:sz w:val="24"/>
                <w:szCs w:val="24"/>
              </w:rPr>
              <w:t xml:space="preserve">Ιανουάριος </w:t>
            </w:r>
            <w:r>
              <w:rPr>
                <w:sz w:val="24"/>
                <w:szCs w:val="24"/>
              </w:rPr>
              <w:t>- Φεβρουάριος</w:t>
            </w:r>
          </w:p>
        </w:tc>
        <w:tc>
          <w:tcPr>
            <w:tcW w:w="1704" w:type="dxa"/>
            <w:vAlign w:val="bottom"/>
          </w:tcPr>
          <w:p w:rsidR="00934C36" w:rsidRPr="00934C36" w:rsidRDefault="00934C36" w:rsidP="00934C36">
            <w:pPr>
              <w:jc w:val="center"/>
              <w:rPr>
                <w:sz w:val="24"/>
                <w:szCs w:val="24"/>
              </w:rPr>
            </w:pPr>
            <w:r>
              <w:rPr>
                <w:sz w:val="24"/>
                <w:szCs w:val="24"/>
              </w:rPr>
              <w:t>292,2</w:t>
            </w:r>
          </w:p>
        </w:tc>
        <w:tc>
          <w:tcPr>
            <w:tcW w:w="2411" w:type="dxa"/>
            <w:vAlign w:val="bottom"/>
          </w:tcPr>
          <w:p w:rsidR="00934C36" w:rsidRPr="00934C36" w:rsidRDefault="003031ED" w:rsidP="00934C36">
            <w:pPr>
              <w:jc w:val="center"/>
              <w:rPr>
                <w:sz w:val="24"/>
                <w:szCs w:val="24"/>
              </w:rPr>
            </w:pPr>
            <w:r>
              <w:rPr>
                <w:sz w:val="24"/>
                <w:szCs w:val="24"/>
              </w:rPr>
              <w:t xml:space="preserve"> </w:t>
            </w:r>
            <w:r w:rsidR="00934C36">
              <w:rPr>
                <w:sz w:val="24"/>
                <w:szCs w:val="24"/>
              </w:rPr>
              <w:t>0,59%</w:t>
            </w:r>
          </w:p>
        </w:tc>
      </w:tr>
      <w:tr w:rsidR="00934C36" w:rsidTr="00542A01">
        <w:trPr>
          <w:trHeight w:val="179"/>
        </w:trPr>
        <w:tc>
          <w:tcPr>
            <w:tcW w:w="2943" w:type="dxa"/>
          </w:tcPr>
          <w:p w:rsidR="00934C36" w:rsidRPr="00934C36" w:rsidRDefault="00934C36" w:rsidP="00934C36">
            <w:pPr>
              <w:rPr>
                <w:sz w:val="24"/>
                <w:szCs w:val="24"/>
              </w:rPr>
            </w:pPr>
            <w:r>
              <w:rPr>
                <w:sz w:val="24"/>
                <w:szCs w:val="24"/>
              </w:rPr>
              <w:t>Μάρτιος – Απρίλιος</w:t>
            </w:r>
          </w:p>
        </w:tc>
        <w:tc>
          <w:tcPr>
            <w:tcW w:w="1704" w:type="dxa"/>
            <w:vAlign w:val="bottom"/>
          </w:tcPr>
          <w:p w:rsidR="00934C36" w:rsidRPr="00934C36" w:rsidRDefault="00934C36" w:rsidP="00934C36">
            <w:pPr>
              <w:jc w:val="center"/>
              <w:rPr>
                <w:sz w:val="24"/>
                <w:szCs w:val="24"/>
              </w:rPr>
            </w:pPr>
            <w:r>
              <w:rPr>
                <w:sz w:val="24"/>
                <w:szCs w:val="24"/>
              </w:rPr>
              <w:t>285,5</w:t>
            </w:r>
          </w:p>
        </w:tc>
        <w:tc>
          <w:tcPr>
            <w:tcW w:w="2411" w:type="dxa"/>
            <w:vAlign w:val="bottom"/>
          </w:tcPr>
          <w:p w:rsidR="00934C36" w:rsidRPr="00934C36" w:rsidRDefault="00934C36" w:rsidP="00934C36">
            <w:pPr>
              <w:jc w:val="center"/>
              <w:rPr>
                <w:sz w:val="24"/>
                <w:szCs w:val="24"/>
              </w:rPr>
            </w:pPr>
            <w:r>
              <w:rPr>
                <w:sz w:val="24"/>
                <w:szCs w:val="24"/>
              </w:rPr>
              <w:t>-0,79%</w:t>
            </w:r>
          </w:p>
        </w:tc>
      </w:tr>
      <w:tr w:rsidR="00934C36" w:rsidTr="00EE567C">
        <w:tc>
          <w:tcPr>
            <w:tcW w:w="2943" w:type="dxa"/>
          </w:tcPr>
          <w:p w:rsidR="00934C36" w:rsidRPr="00934C36" w:rsidRDefault="00934C36" w:rsidP="00934C36">
            <w:pPr>
              <w:rPr>
                <w:sz w:val="24"/>
                <w:szCs w:val="24"/>
              </w:rPr>
            </w:pPr>
            <w:r>
              <w:rPr>
                <w:sz w:val="24"/>
                <w:szCs w:val="24"/>
              </w:rPr>
              <w:lastRenderedPageBreak/>
              <w:t>Μάιος - Ιούνιος</w:t>
            </w:r>
          </w:p>
        </w:tc>
        <w:tc>
          <w:tcPr>
            <w:tcW w:w="1704" w:type="dxa"/>
            <w:vAlign w:val="bottom"/>
          </w:tcPr>
          <w:p w:rsidR="00934C36" w:rsidRPr="00934C36" w:rsidRDefault="00934C36" w:rsidP="00934C36">
            <w:pPr>
              <w:jc w:val="center"/>
              <w:rPr>
                <w:sz w:val="24"/>
                <w:szCs w:val="24"/>
              </w:rPr>
            </w:pPr>
            <w:r>
              <w:rPr>
                <w:sz w:val="24"/>
                <w:szCs w:val="24"/>
              </w:rPr>
              <w:t>279,1</w:t>
            </w:r>
          </w:p>
        </w:tc>
        <w:tc>
          <w:tcPr>
            <w:tcW w:w="2411" w:type="dxa"/>
            <w:vAlign w:val="bottom"/>
          </w:tcPr>
          <w:p w:rsidR="00934C36" w:rsidRPr="00934C36" w:rsidRDefault="00934C36" w:rsidP="00934C36">
            <w:pPr>
              <w:jc w:val="center"/>
              <w:rPr>
                <w:sz w:val="24"/>
                <w:szCs w:val="24"/>
              </w:rPr>
            </w:pPr>
            <w:r>
              <w:rPr>
                <w:sz w:val="24"/>
                <w:szCs w:val="24"/>
              </w:rPr>
              <w:t>-1,75%</w:t>
            </w:r>
          </w:p>
        </w:tc>
      </w:tr>
      <w:tr w:rsidR="00934C36" w:rsidTr="00EE567C">
        <w:tc>
          <w:tcPr>
            <w:tcW w:w="2943" w:type="dxa"/>
          </w:tcPr>
          <w:p w:rsidR="00934C36" w:rsidRPr="00934C36" w:rsidRDefault="00934C36" w:rsidP="00934C36">
            <w:pPr>
              <w:rPr>
                <w:sz w:val="24"/>
                <w:szCs w:val="24"/>
              </w:rPr>
            </w:pPr>
            <w:r>
              <w:rPr>
                <w:sz w:val="24"/>
                <w:szCs w:val="24"/>
              </w:rPr>
              <w:t>Ιούλιος - Αύγουστος</w:t>
            </w:r>
          </w:p>
        </w:tc>
        <w:tc>
          <w:tcPr>
            <w:tcW w:w="1704" w:type="dxa"/>
            <w:vAlign w:val="bottom"/>
          </w:tcPr>
          <w:p w:rsidR="00934C36" w:rsidRPr="00934C36" w:rsidRDefault="00934C36" w:rsidP="00934C36">
            <w:pPr>
              <w:jc w:val="center"/>
              <w:rPr>
                <w:sz w:val="24"/>
                <w:szCs w:val="24"/>
              </w:rPr>
            </w:pPr>
            <w:r>
              <w:rPr>
                <w:sz w:val="24"/>
                <w:szCs w:val="24"/>
              </w:rPr>
              <w:t>268,6</w:t>
            </w:r>
          </w:p>
        </w:tc>
        <w:tc>
          <w:tcPr>
            <w:tcW w:w="2411" w:type="dxa"/>
            <w:vAlign w:val="bottom"/>
          </w:tcPr>
          <w:p w:rsidR="00934C36" w:rsidRPr="00934C36" w:rsidRDefault="00934C36" w:rsidP="00934C36">
            <w:pPr>
              <w:jc w:val="center"/>
              <w:rPr>
                <w:sz w:val="24"/>
                <w:szCs w:val="24"/>
              </w:rPr>
            </w:pPr>
            <w:r>
              <w:rPr>
                <w:sz w:val="24"/>
                <w:szCs w:val="24"/>
              </w:rPr>
              <w:t>-12,84%</w:t>
            </w:r>
          </w:p>
        </w:tc>
      </w:tr>
      <w:tr w:rsidR="00934C36" w:rsidTr="00EE567C">
        <w:tc>
          <w:tcPr>
            <w:tcW w:w="2943" w:type="dxa"/>
          </w:tcPr>
          <w:p w:rsidR="00934C36" w:rsidRPr="00934C36" w:rsidRDefault="00934C36" w:rsidP="00934C36">
            <w:pPr>
              <w:rPr>
                <w:sz w:val="24"/>
                <w:szCs w:val="24"/>
              </w:rPr>
            </w:pPr>
            <w:r>
              <w:rPr>
                <w:sz w:val="24"/>
                <w:szCs w:val="24"/>
              </w:rPr>
              <w:t>Σεπτέμβριος – Οκτώβριος</w:t>
            </w:r>
          </w:p>
        </w:tc>
        <w:tc>
          <w:tcPr>
            <w:tcW w:w="1704" w:type="dxa"/>
            <w:vAlign w:val="bottom"/>
          </w:tcPr>
          <w:p w:rsidR="00934C36" w:rsidRPr="00934C36" w:rsidRDefault="00934C36" w:rsidP="00934C36">
            <w:pPr>
              <w:jc w:val="center"/>
              <w:rPr>
                <w:sz w:val="24"/>
                <w:szCs w:val="24"/>
              </w:rPr>
            </w:pPr>
            <w:r>
              <w:rPr>
                <w:sz w:val="24"/>
                <w:szCs w:val="24"/>
              </w:rPr>
              <w:t>278,2</w:t>
            </w:r>
          </w:p>
        </w:tc>
        <w:tc>
          <w:tcPr>
            <w:tcW w:w="2411" w:type="dxa"/>
            <w:vAlign w:val="bottom"/>
          </w:tcPr>
          <w:p w:rsidR="00934C36" w:rsidRPr="00934C36" w:rsidRDefault="00934C36" w:rsidP="00934C36">
            <w:pPr>
              <w:jc w:val="center"/>
              <w:rPr>
                <w:sz w:val="24"/>
                <w:szCs w:val="24"/>
              </w:rPr>
            </w:pPr>
            <w:r>
              <w:rPr>
                <w:sz w:val="24"/>
                <w:szCs w:val="24"/>
              </w:rPr>
              <w:t>-7,9</w:t>
            </w:r>
            <w:r w:rsidR="003031ED">
              <w:rPr>
                <w:sz w:val="24"/>
                <w:szCs w:val="24"/>
              </w:rPr>
              <w:t>0</w:t>
            </w:r>
            <w:r>
              <w:rPr>
                <w:sz w:val="24"/>
                <w:szCs w:val="24"/>
              </w:rPr>
              <w:t>%</w:t>
            </w:r>
          </w:p>
        </w:tc>
      </w:tr>
      <w:tr w:rsidR="00934C36" w:rsidTr="00EE567C">
        <w:tc>
          <w:tcPr>
            <w:tcW w:w="2943" w:type="dxa"/>
            <w:tcBorders>
              <w:bottom w:val="single" w:sz="4" w:space="0" w:color="auto"/>
            </w:tcBorders>
          </w:tcPr>
          <w:p w:rsidR="00934C36" w:rsidRPr="00934C36" w:rsidRDefault="00934C36" w:rsidP="00934C36">
            <w:pPr>
              <w:rPr>
                <w:sz w:val="24"/>
                <w:szCs w:val="24"/>
              </w:rPr>
            </w:pPr>
            <w:r>
              <w:rPr>
                <w:sz w:val="24"/>
                <w:szCs w:val="24"/>
              </w:rPr>
              <w:t>Νοέμβριος - Δεκέμβριος</w:t>
            </w:r>
          </w:p>
        </w:tc>
        <w:tc>
          <w:tcPr>
            <w:tcW w:w="1704" w:type="dxa"/>
            <w:tcBorders>
              <w:bottom w:val="single" w:sz="4" w:space="0" w:color="auto"/>
            </w:tcBorders>
            <w:vAlign w:val="bottom"/>
          </w:tcPr>
          <w:p w:rsidR="00934C36" w:rsidRPr="00934C36" w:rsidRDefault="00934C36" w:rsidP="00934C36">
            <w:pPr>
              <w:jc w:val="center"/>
              <w:rPr>
                <w:sz w:val="24"/>
                <w:szCs w:val="24"/>
              </w:rPr>
            </w:pPr>
            <w:r>
              <w:rPr>
                <w:sz w:val="24"/>
                <w:szCs w:val="24"/>
              </w:rPr>
              <w:t>285,1</w:t>
            </w:r>
          </w:p>
        </w:tc>
        <w:tc>
          <w:tcPr>
            <w:tcW w:w="2411" w:type="dxa"/>
            <w:tcBorders>
              <w:bottom w:val="single" w:sz="4" w:space="0" w:color="auto"/>
            </w:tcBorders>
            <w:vAlign w:val="bottom"/>
          </w:tcPr>
          <w:p w:rsidR="00934C36" w:rsidRPr="00934C36" w:rsidRDefault="00934C36" w:rsidP="00934C36">
            <w:pPr>
              <w:jc w:val="center"/>
              <w:rPr>
                <w:sz w:val="24"/>
                <w:szCs w:val="24"/>
              </w:rPr>
            </w:pPr>
            <w:r>
              <w:rPr>
                <w:sz w:val="24"/>
                <w:szCs w:val="24"/>
              </w:rPr>
              <w:t>-6,38%</w:t>
            </w:r>
          </w:p>
        </w:tc>
      </w:tr>
      <w:tr w:rsidR="00934C36" w:rsidTr="00EE567C">
        <w:tc>
          <w:tcPr>
            <w:tcW w:w="2943" w:type="dxa"/>
            <w:shd w:val="clear" w:color="auto" w:fill="BFBFBF" w:themeFill="background1" w:themeFillShade="BF"/>
          </w:tcPr>
          <w:p w:rsidR="00934C36" w:rsidRPr="00934C36" w:rsidRDefault="00934C36" w:rsidP="00934C36">
            <w:pPr>
              <w:rPr>
                <w:b/>
                <w:sz w:val="24"/>
                <w:szCs w:val="24"/>
              </w:rPr>
            </w:pPr>
            <w:r w:rsidRPr="00934C36">
              <w:rPr>
                <w:b/>
                <w:sz w:val="24"/>
                <w:szCs w:val="24"/>
              </w:rPr>
              <w:t>Σύνολο</w:t>
            </w:r>
          </w:p>
        </w:tc>
        <w:tc>
          <w:tcPr>
            <w:tcW w:w="1704" w:type="dxa"/>
            <w:shd w:val="clear" w:color="auto" w:fill="BFBFBF" w:themeFill="background1" w:themeFillShade="BF"/>
            <w:vAlign w:val="bottom"/>
          </w:tcPr>
          <w:p w:rsidR="00934C36" w:rsidRPr="00934C36" w:rsidRDefault="00934C36" w:rsidP="00934C36">
            <w:pPr>
              <w:jc w:val="center"/>
              <w:rPr>
                <w:b/>
                <w:sz w:val="24"/>
                <w:szCs w:val="24"/>
              </w:rPr>
            </w:pPr>
            <w:r w:rsidRPr="00934C36">
              <w:rPr>
                <w:b/>
                <w:sz w:val="24"/>
                <w:szCs w:val="24"/>
              </w:rPr>
              <w:t>1.688,7</w:t>
            </w:r>
          </w:p>
        </w:tc>
        <w:tc>
          <w:tcPr>
            <w:tcW w:w="2411" w:type="dxa"/>
            <w:shd w:val="clear" w:color="auto" w:fill="BFBFBF" w:themeFill="background1" w:themeFillShade="BF"/>
            <w:vAlign w:val="bottom"/>
          </w:tcPr>
          <w:p w:rsidR="00934C36" w:rsidRPr="00934C36" w:rsidRDefault="00934C36" w:rsidP="00934C36">
            <w:pPr>
              <w:jc w:val="center"/>
              <w:rPr>
                <w:b/>
                <w:sz w:val="24"/>
                <w:szCs w:val="24"/>
              </w:rPr>
            </w:pPr>
            <w:r w:rsidRPr="00934C36">
              <w:rPr>
                <w:b/>
                <w:sz w:val="24"/>
                <w:szCs w:val="24"/>
              </w:rPr>
              <w:t>-4,97%</w:t>
            </w:r>
          </w:p>
        </w:tc>
      </w:tr>
    </w:tbl>
    <w:p w:rsidR="00A9474F" w:rsidRDefault="00A9474F" w:rsidP="003031ED">
      <w:pPr>
        <w:pStyle w:val="a6"/>
        <w:numPr>
          <w:ilvl w:val="0"/>
          <w:numId w:val="4"/>
        </w:numPr>
        <w:ind w:left="426" w:hanging="426"/>
        <w:jc w:val="both"/>
        <w:rPr>
          <w:sz w:val="24"/>
          <w:szCs w:val="24"/>
        </w:rPr>
      </w:pPr>
      <w:r w:rsidRPr="003031ED">
        <w:rPr>
          <w:sz w:val="24"/>
          <w:szCs w:val="24"/>
        </w:rPr>
        <w:t>Μειωμένα κατά 4,97% εκτιμώνται τα έσοδα του ΟΑΕΕ από ασφαλιστικές εισφορές</w:t>
      </w:r>
      <w:r w:rsidR="00A9303E">
        <w:rPr>
          <w:sz w:val="24"/>
          <w:szCs w:val="24"/>
        </w:rPr>
        <w:t xml:space="preserve"> στα τέλη του 2014</w:t>
      </w:r>
      <w:r w:rsidRPr="003031ED">
        <w:rPr>
          <w:sz w:val="24"/>
          <w:szCs w:val="24"/>
        </w:rPr>
        <w:t>, παρότι η πορεία των  τριών πρώτων διμήνων</w:t>
      </w:r>
      <w:r w:rsidR="003F7ADB">
        <w:rPr>
          <w:sz w:val="24"/>
          <w:szCs w:val="24"/>
        </w:rPr>
        <w:t xml:space="preserve"> του προηγούμενου έτους</w:t>
      </w:r>
      <w:r w:rsidRPr="003031ED">
        <w:rPr>
          <w:sz w:val="24"/>
          <w:szCs w:val="24"/>
        </w:rPr>
        <w:t xml:space="preserve"> κινούνταν σε σταθεροποιητικά ή έστω οριακά αρνητικά επίπεδα σε σχέση με το 2013. Πιο αναλυτικά, ενώ το διάστημα Ιανουαρίου - Ιουνίου 2014 τα έσοδα του Ταμείου παρουσίαζαν μικρές μειώσεις ή και αυξήσεις σε σχέση με το </w:t>
      </w:r>
      <w:r w:rsidR="003F7ADB">
        <w:rPr>
          <w:sz w:val="24"/>
          <w:szCs w:val="24"/>
        </w:rPr>
        <w:t>πρώτο εξάμηνο του 2013,</w:t>
      </w:r>
      <w:r w:rsidRPr="003031ED">
        <w:rPr>
          <w:sz w:val="24"/>
          <w:szCs w:val="24"/>
        </w:rPr>
        <w:t xml:space="preserve"> με αυξομειώσεις μεταξύ 0,59% (Α΄ Δίμηνο) και -1,75% (Γ΄ Δίμηνο), </w:t>
      </w:r>
      <w:r w:rsidR="003F7ADB">
        <w:rPr>
          <w:sz w:val="24"/>
          <w:szCs w:val="24"/>
        </w:rPr>
        <w:t>παρατηρείται μία κατακό</w:t>
      </w:r>
      <w:r w:rsidR="00A9303E">
        <w:rPr>
          <w:sz w:val="24"/>
          <w:szCs w:val="24"/>
        </w:rPr>
        <w:t xml:space="preserve">ρυφη συρρίκνωσή τους κατά </w:t>
      </w:r>
      <w:r w:rsidRPr="003031ED">
        <w:rPr>
          <w:sz w:val="24"/>
          <w:szCs w:val="24"/>
        </w:rPr>
        <w:t xml:space="preserve">12,84% το δίμηνο Ιουλίου </w:t>
      </w:r>
      <w:r w:rsidR="003F7ADB">
        <w:rPr>
          <w:sz w:val="24"/>
          <w:szCs w:val="24"/>
        </w:rPr>
        <w:t>–</w:t>
      </w:r>
      <w:r w:rsidRPr="003031ED">
        <w:rPr>
          <w:sz w:val="24"/>
          <w:szCs w:val="24"/>
        </w:rPr>
        <w:t xml:space="preserve"> Αυγούστου</w:t>
      </w:r>
      <w:r w:rsidR="003F7ADB">
        <w:rPr>
          <w:sz w:val="24"/>
          <w:szCs w:val="24"/>
        </w:rPr>
        <w:t>. Η καταγεγραμμένη υποχωρητική τάση</w:t>
      </w:r>
      <w:r w:rsidRPr="003031ED">
        <w:rPr>
          <w:sz w:val="24"/>
          <w:szCs w:val="24"/>
        </w:rPr>
        <w:t xml:space="preserve"> </w:t>
      </w:r>
      <w:r w:rsidR="003F7ADB">
        <w:rPr>
          <w:sz w:val="24"/>
          <w:szCs w:val="24"/>
        </w:rPr>
        <w:t>συνεχίζεται και στο πρώτο δίμηνο του Φθινοπώρου, -</w:t>
      </w:r>
      <w:r w:rsidRPr="003031ED">
        <w:rPr>
          <w:sz w:val="24"/>
          <w:szCs w:val="24"/>
        </w:rPr>
        <w:t>7,9% το Σεπτέμβριο-Οκτώβριο 2014</w:t>
      </w:r>
      <w:r w:rsidR="003F7ADB">
        <w:rPr>
          <w:sz w:val="24"/>
          <w:szCs w:val="24"/>
        </w:rPr>
        <w:t>, όπως επίσης</w:t>
      </w:r>
      <w:r w:rsidRPr="003031ED">
        <w:rPr>
          <w:sz w:val="24"/>
          <w:szCs w:val="24"/>
        </w:rPr>
        <w:t xml:space="preserve"> και</w:t>
      </w:r>
      <w:r w:rsidR="003F7ADB">
        <w:rPr>
          <w:sz w:val="24"/>
          <w:szCs w:val="24"/>
        </w:rPr>
        <w:t xml:space="preserve"> στη διάρκεια </w:t>
      </w:r>
      <w:r w:rsidR="003F7ADB" w:rsidRPr="003031ED">
        <w:rPr>
          <w:sz w:val="24"/>
          <w:szCs w:val="24"/>
        </w:rPr>
        <w:t>του τελευταίου διμήνου</w:t>
      </w:r>
      <w:r w:rsidR="003F7ADB">
        <w:rPr>
          <w:sz w:val="24"/>
          <w:szCs w:val="24"/>
        </w:rPr>
        <w:t xml:space="preserve"> </w:t>
      </w:r>
      <w:r w:rsidR="00217243">
        <w:rPr>
          <w:sz w:val="24"/>
          <w:szCs w:val="24"/>
        </w:rPr>
        <w:t xml:space="preserve">του έτους (Νοέμβριος - Δεκέμβριος) </w:t>
      </w:r>
      <w:r w:rsidR="003F7ADB" w:rsidRPr="003031ED">
        <w:rPr>
          <w:sz w:val="24"/>
          <w:szCs w:val="24"/>
        </w:rPr>
        <w:t>κατά 6,38%</w:t>
      </w:r>
      <w:r w:rsidRPr="003031ED">
        <w:rPr>
          <w:sz w:val="24"/>
          <w:szCs w:val="24"/>
        </w:rPr>
        <w:t>.</w:t>
      </w:r>
    </w:p>
    <w:p w:rsidR="00EE567C" w:rsidRPr="00E06D88" w:rsidRDefault="00E60082" w:rsidP="00EE567C">
      <w:pPr>
        <w:rPr>
          <w:b/>
          <w:sz w:val="26"/>
          <w:szCs w:val="26"/>
          <w:u w:val="single"/>
        </w:rPr>
      </w:pPr>
      <w:r>
        <w:rPr>
          <w:b/>
          <w:sz w:val="30"/>
          <w:szCs w:val="30"/>
          <w:u w:val="single"/>
        </w:rPr>
        <w:t>Γ</w:t>
      </w:r>
      <w:r w:rsidR="00EE567C" w:rsidRPr="00E22BC9">
        <w:rPr>
          <w:b/>
          <w:sz w:val="30"/>
          <w:szCs w:val="30"/>
          <w:u w:val="single"/>
        </w:rPr>
        <w:t>.</w:t>
      </w:r>
      <w:r w:rsidR="00EE567C" w:rsidRPr="00E22BC9">
        <w:rPr>
          <w:sz w:val="30"/>
          <w:szCs w:val="30"/>
          <w:u w:val="single"/>
        </w:rPr>
        <w:t xml:space="preserve"> </w:t>
      </w:r>
      <w:r w:rsidR="00EE567C" w:rsidRPr="00E22BC9">
        <w:rPr>
          <w:b/>
          <w:sz w:val="26"/>
          <w:szCs w:val="26"/>
          <w:u w:val="single"/>
        </w:rPr>
        <w:t>Νέα ρύθμιση οφειλών προς ΟΑΕΕ</w:t>
      </w:r>
      <w:r w:rsidR="00764AF7" w:rsidRPr="00E22BC9">
        <w:rPr>
          <w:b/>
          <w:sz w:val="26"/>
          <w:szCs w:val="26"/>
          <w:u w:val="single"/>
        </w:rPr>
        <w:t xml:space="preserve"> (ευνοϊκό καθεστώς</w:t>
      </w:r>
      <w:r w:rsidR="0089636B" w:rsidRPr="00E22BC9">
        <w:rPr>
          <w:b/>
          <w:sz w:val="26"/>
          <w:szCs w:val="26"/>
          <w:u w:val="single"/>
        </w:rPr>
        <w:t xml:space="preserve"> 100</w:t>
      </w:r>
      <w:r w:rsidR="00764AF7" w:rsidRPr="00E22BC9">
        <w:rPr>
          <w:b/>
          <w:sz w:val="26"/>
          <w:szCs w:val="26"/>
          <w:u w:val="single"/>
        </w:rPr>
        <w:t xml:space="preserve"> δόσεων)</w:t>
      </w:r>
      <w:r w:rsidR="00EE567C" w:rsidRPr="00E22BC9">
        <w:rPr>
          <w:b/>
          <w:sz w:val="26"/>
          <w:szCs w:val="26"/>
          <w:u w:val="single"/>
        </w:rPr>
        <w:t>:</w:t>
      </w:r>
    </w:p>
    <w:tbl>
      <w:tblPr>
        <w:tblStyle w:val="a3"/>
        <w:tblW w:w="4540" w:type="dxa"/>
        <w:tblInd w:w="534" w:type="dxa"/>
        <w:tblLook w:val="04A0"/>
      </w:tblPr>
      <w:tblGrid>
        <w:gridCol w:w="2410"/>
        <w:gridCol w:w="2130"/>
      </w:tblGrid>
      <w:tr w:rsidR="00EE567C" w:rsidTr="003031ED">
        <w:tc>
          <w:tcPr>
            <w:tcW w:w="4540" w:type="dxa"/>
            <w:gridSpan w:val="2"/>
            <w:shd w:val="clear" w:color="auto" w:fill="A6A6A6" w:themeFill="background1" w:themeFillShade="A6"/>
          </w:tcPr>
          <w:p w:rsidR="004A6A5A" w:rsidRDefault="00EE567C" w:rsidP="004A6A5A">
            <w:pPr>
              <w:jc w:val="center"/>
              <w:rPr>
                <w:sz w:val="24"/>
                <w:szCs w:val="24"/>
              </w:rPr>
            </w:pPr>
            <w:r w:rsidRPr="00EE567C">
              <w:rPr>
                <w:b/>
                <w:i/>
                <w:sz w:val="26"/>
                <w:szCs w:val="26"/>
              </w:rPr>
              <w:t xml:space="preserve">Πίνακας </w:t>
            </w:r>
            <w:r w:rsidR="00E60082">
              <w:rPr>
                <w:b/>
                <w:i/>
                <w:sz w:val="26"/>
                <w:szCs w:val="26"/>
              </w:rPr>
              <w:t>3</w:t>
            </w:r>
            <w:r w:rsidRPr="00EE567C">
              <w:rPr>
                <w:b/>
                <w:i/>
                <w:sz w:val="26"/>
                <w:szCs w:val="26"/>
              </w:rPr>
              <w:t>:</w:t>
            </w:r>
            <w:r>
              <w:rPr>
                <w:sz w:val="30"/>
                <w:szCs w:val="30"/>
              </w:rPr>
              <w:t xml:space="preserve"> </w:t>
            </w:r>
            <w:r w:rsidR="004A6A5A">
              <w:rPr>
                <w:sz w:val="24"/>
                <w:szCs w:val="24"/>
              </w:rPr>
              <w:t>Νέα ρύθμιση οφειλών</w:t>
            </w:r>
            <w:r>
              <w:rPr>
                <w:sz w:val="24"/>
                <w:szCs w:val="24"/>
              </w:rPr>
              <w:t xml:space="preserve"> </w:t>
            </w:r>
            <w:r w:rsidR="004A6A5A">
              <w:rPr>
                <w:sz w:val="24"/>
                <w:szCs w:val="24"/>
              </w:rPr>
              <w:t>σε ΟΑΕΕ</w:t>
            </w:r>
          </w:p>
          <w:p w:rsidR="00EE567C" w:rsidRDefault="00EE567C" w:rsidP="004A6A5A">
            <w:pPr>
              <w:jc w:val="center"/>
              <w:rPr>
                <w:sz w:val="30"/>
                <w:szCs w:val="30"/>
              </w:rPr>
            </w:pPr>
            <w:r>
              <w:rPr>
                <w:sz w:val="24"/>
                <w:szCs w:val="24"/>
              </w:rPr>
              <w:t>(</w:t>
            </w:r>
            <w:r w:rsidR="004A6A5A">
              <w:rPr>
                <w:sz w:val="24"/>
                <w:szCs w:val="24"/>
              </w:rPr>
              <w:t>ΟΑΕΕ &amp; ΚΕΑΟ</w:t>
            </w:r>
            <w:r w:rsidR="00676F45">
              <w:rPr>
                <w:sz w:val="24"/>
                <w:szCs w:val="24"/>
              </w:rPr>
              <w:t xml:space="preserve"> – μέσα Ιανουαρίου 2015</w:t>
            </w:r>
            <w:r>
              <w:rPr>
                <w:sz w:val="24"/>
                <w:szCs w:val="24"/>
              </w:rPr>
              <w:t>)</w:t>
            </w:r>
          </w:p>
        </w:tc>
      </w:tr>
      <w:tr w:rsidR="00EE567C" w:rsidTr="003031ED">
        <w:trPr>
          <w:trHeight w:val="357"/>
        </w:trPr>
        <w:tc>
          <w:tcPr>
            <w:tcW w:w="2410" w:type="dxa"/>
            <w:vAlign w:val="bottom"/>
          </w:tcPr>
          <w:p w:rsidR="00EE567C" w:rsidRPr="00EE567C" w:rsidRDefault="00EE567C" w:rsidP="00A9474F">
            <w:pPr>
              <w:rPr>
                <w:sz w:val="24"/>
                <w:szCs w:val="24"/>
              </w:rPr>
            </w:pPr>
            <w:r w:rsidRPr="00EE567C">
              <w:rPr>
                <w:sz w:val="24"/>
                <w:szCs w:val="24"/>
              </w:rPr>
              <w:t>Πλήθος αποφάσεων</w:t>
            </w:r>
          </w:p>
        </w:tc>
        <w:tc>
          <w:tcPr>
            <w:tcW w:w="2130" w:type="dxa"/>
            <w:vAlign w:val="bottom"/>
          </w:tcPr>
          <w:p w:rsidR="00EE567C" w:rsidRPr="00A9474F" w:rsidRDefault="00EE567C" w:rsidP="00EE567C">
            <w:pPr>
              <w:jc w:val="center"/>
              <w:rPr>
                <w:b/>
                <w:sz w:val="24"/>
                <w:szCs w:val="24"/>
              </w:rPr>
            </w:pPr>
            <w:r w:rsidRPr="00A9474F">
              <w:rPr>
                <w:b/>
                <w:sz w:val="24"/>
                <w:szCs w:val="24"/>
              </w:rPr>
              <w:t>31.351</w:t>
            </w:r>
          </w:p>
        </w:tc>
      </w:tr>
      <w:tr w:rsidR="00EE567C" w:rsidTr="00E22BC9">
        <w:trPr>
          <w:trHeight w:val="525"/>
        </w:trPr>
        <w:tc>
          <w:tcPr>
            <w:tcW w:w="2410" w:type="dxa"/>
            <w:vAlign w:val="bottom"/>
          </w:tcPr>
          <w:p w:rsidR="00EE567C" w:rsidRPr="00EE567C" w:rsidRDefault="00EE567C" w:rsidP="00A9474F">
            <w:pPr>
              <w:rPr>
                <w:sz w:val="24"/>
                <w:szCs w:val="24"/>
              </w:rPr>
            </w:pPr>
            <w:r w:rsidRPr="00EE567C">
              <w:rPr>
                <w:sz w:val="24"/>
                <w:szCs w:val="24"/>
              </w:rPr>
              <w:t>Ποσό οφειλών που ρυθμίστηκαν</w:t>
            </w:r>
            <w:r w:rsidR="00A9474F">
              <w:rPr>
                <w:sz w:val="24"/>
                <w:szCs w:val="24"/>
              </w:rPr>
              <w:t xml:space="preserve"> </w:t>
            </w:r>
            <w:r w:rsidR="00A9474F" w:rsidRPr="00A9474F">
              <w:rPr>
                <w:i/>
              </w:rPr>
              <w:t>(σε εκ. €)</w:t>
            </w:r>
          </w:p>
        </w:tc>
        <w:tc>
          <w:tcPr>
            <w:tcW w:w="2130" w:type="dxa"/>
            <w:vAlign w:val="bottom"/>
          </w:tcPr>
          <w:p w:rsidR="00EE567C" w:rsidRPr="00A9474F" w:rsidRDefault="00EE567C" w:rsidP="00A9474F">
            <w:pPr>
              <w:jc w:val="center"/>
              <w:rPr>
                <w:b/>
                <w:sz w:val="24"/>
                <w:szCs w:val="24"/>
              </w:rPr>
            </w:pPr>
            <w:r w:rsidRPr="00A9474F">
              <w:rPr>
                <w:b/>
                <w:sz w:val="24"/>
                <w:szCs w:val="24"/>
              </w:rPr>
              <w:t>354,1</w:t>
            </w:r>
            <w:r w:rsidR="00A9474F" w:rsidRPr="00A9474F">
              <w:rPr>
                <w:b/>
                <w:sz w:val="24"/>
                <w:szCs w:val="24"/>
              </w:rPr>
              <w:t xml:space="preserve"> </w:t>
            </w:r>
          </w:p>
        </w:tc>
      </w:tr>
      <w:tr w:rsidR="00EE567C" w:rsidTr="003031ED">
        <w:trPr>
          <w:trHeight w:val="401"/>
        </w:trPr>
        <w:tc>
          <w:tcPr>
            <w:tcW w:w="2410" w:type="dxa"/>
            <w:vAlign w:val="bottom"/>
          </w:tcPr>
          <w:p w:rsidR="00EE567C" w:rsidRPr="00EE567C" w:rsidRDefault="00EE567C" w:rsidP="00A9474F">
            <w:pPr>
              <w:rPr>
                <w:sz w:val="24"/>
                <w:szCs w:val="24"/>
              </w:rPr>
            </w:pPr>
            <w:r>
              <w:rPr>
                <w:sz w:val="24"/>
                <w:szCs w:val="24"/>
              </w:rPr>
              <w:t xml:space="preserve">Εισπράξεις </w:t>
            </w:r>
            <w:r w:rsidR="00A9474F" w:rsidRPr="00A9474F">
              <w:rPr>
                <w:i/>
              </w:rPr>
              <w:t>(</w:t>
            </w:r>
            <w:r w:rsidRPr="00A9474F">
              <w:rPr>
                <w:i/>
              </w:rPr>
              <w:t>σε εκ. €</w:t>
            </w:r>
            <w:r w:rsidR="00A9474F" w:rsidRPr="00A9474F">
              <w:rPr>
                <w:i/>
              </w:rPr>
              <w:t>)</w:t>
            </w:r>
          </w:p>
        </w:tc>
        <w:tc>
          <w:tcPr>
            <w:tcW w:w="2130" w:type="dxa"/>
            <w:vAlign w:val="bottom"/>
          </w:tcPr>
          <w:p w:rsidR="00EE567C" w:rsidRPr="00A9474F" w:rsidRDefault="00EE567C" w:rsidP="00EE567C">
            <w:pPr>
              <w:jc w:val="center"/>
              <w:rPr>
                <w:b/>
                <w:sz w:val="24"/>
                <w:szCs w:val="24"/>
              </w:rPr>
            </w:pPr>
            <w:r w:rsidRPr="00A9474F">
              <w:rPr>
                <w:b/>
                <w:sz w:val="24"/>
                <w:szCs w:val="24"/>
              </w:rPr>
              <w:t>20,69</w:t>
            </w:r>
          </w:p>
        </w:tc>
      </w:tr>
    </w:tbl>
    <w:p w:rsidR="00676F45" w:rsidRPr="00676F45" w:rsidRDefault="00676F45" w:rsidP="00A9474F">
      <w:pPr>
        <w:rPr>
          <w:sz w:val="24"/>
          <w:szCs w:val="24"/>
        </w:rPr>
      </w:pPr>
    </w:p>
    <w:p w:rsidR="00150CF0" w:rsidRPr="00E22BC9" w:rsidRDefault="00676F45" w:rsidP="00E22BC9">
      <w:pPr>
        <w:pStyle w:val="a6"/>
        <w:numPr>
          <w:ilvl w:val="0"/>
          <w:numId w:val="7"/>
        </w:numPr>
        <w:ind w:left="426" w:hanging="426"/>
        <w:jc w:val="both"/>
        <w:rPr>
          <w:sz w:val="24"/>
          <w:szCs w:val="24"/>
        </w:rPr>
      </w:pPr>
      <w:r w:rsidRPr="00E22BC9">
        <w:rPr>
          <w:sz w:val="24"/>
          <w:szCs w:val="24"/>
        </w:rPr>
        <w:t xml:space="preserve">Με την έλευση του νέου έτους, η οποία σηματοδοτήθηκε από την έντονη πολιτική αβεβαιότητα αλλά και κατά τη διάρκεια του τελευταίου χρονικού διαστήματος παρατηρείται σημαντική μείωση του ενδιαφέροντος για ρύθμιση των ληξιπρόθεσμων οφειλών στον ΟΑΕΕ, παρά την αρχικά μεγάλη συμμετοχή που είχε παρατηρηθεί στις αρχές Νοεμβρίου. </w:t>
      </w:r>
      <w:r w:rsidR="00E22BC9" w:rsidRPr="00E22BC9">
        <w:rPr>
          <w:sz w:val="24"/>
          <w:szCs w:val="24"/>
        </w:rPr>
        <w:t xml:space="preserve">Από τους οφειλέτες που έσπευσαν να κάνουν χρήση της νέας ρύθμισης (ευνοϊκό καθεστώς έως και 100 δόσεις), οι 31.351 οφειλέτες προέρχονται από τον ΟΑΕΕ ρυθμίζοντας ποσά της τάξεως των 354,094 εκ. €, συνεισφέροντας στην τόνωση των εσόδων του Ταμείου κατά 20,7 περίπου εκ. </w:t>
      </w:r>
      <w:r w:rsidR="00E22BC9" w:rsidRPr="00E22BC9">
        <w:rPr>
          <w:rFonts w:cstheme="minorHAnsi"/>
          <w:sz w:val="24"/>
          <w:szCs w:val="24"/>
        </w:rPr>
        <w:t>€</w:t>
      </w:r>
      <w:r w:rsidR="00E22BC9" w:rsidRPr="00E22BC9">
        <w:rPr>
          <w:sz w:val="24"/>
          <w:szCs w:val="24"/>
        </w:rPr>
        <w:t>.</w:t>
      </w:r>
    </w:p>
    <w:p w:rsidR="00A9474F" w:rsidRPr="00E06D88" w:rsidRDefault="00E60082" w:rsidP="00A9474F">
      <w:pPr>
        <w:rPr>
          <w:b/>
          <w:sz w:val="26"/>
          <w:szCs w:val="26"/>
          <w:u w:val="single"/>
        </w:rPr>
      </w:pPr>
      <w:r>
        <w:rPr>
          <w:b/>
          <w:sz w:val="30"/>
          <w:szCs w:val="30"/>
          <w:u w:val="single"/>
        </w:rPr>
        <w:t>Δ</w:t>
      </w:r>
      <w:r w:rsidR="00A9474F" w:rsidRPr="00E06D88">
        <w:rPr>
          <w:b/>
          <w:sz w:val="30"/>
          <w:szCs w:val="30"/>
          <w:u w:val="single"/>
        </w:rPr>
        <w:t>.</w:t>
      </w:r>
      <w:r w:rsidR="00A9474F" w:rsidRPr="00E06D88">
        <w:rPr>
          <w:sz w:val="30"/>
          <w:szCs w:val="30"/>
          <w:u w:val="single"/>
        </w:rPr>
        <w:t xml:space="preserve"> </w:t>
      </w:r>
      <w:r w:rsidR="00A9474F" w:rsidRPr="00E06D88">
        <w:rPr>
          <w:b/>
          <w:sz w:val="26"/>
          <w:szCs w:val="26"/>
          <w:u w:val="single"/>
        </w:rPr>
        <w:t>Κρατική επιχορήγηση προς ΟΑΕΕ:</w:t>
      </w:r>
    </w:p>
    <w:p w:rsidR="005E660C" w:rsidRPr="005C54A1" w:rsidRDefault="005E660C" w:rsidP="005E660C">
      <w:pPr>
        <w:jc w:val="both"/>
        <w:rPr>
          <w:sz w:val="24"/>
          <w:szCs w:val="24"/>
        </w:rPr>
      </w:pPr>
      <w:r>
        <w:rPr>
          <w:sz w:val="24"/>
          <w:szCs w:val="24"/>
        </w:rPr>
        <w:t>Με βάση τον προϋπολογισμό του ΟΑΕΕ για το 2015, προβλέπεται έλλειμμα της τάξεως των 5</w:t>
      </w:r>
      <w:r w:rsidR="00F52082">
        <w:rPr>
          <w:sz w:val="24"/>
          <w:szCs w:val="24"/>
        </w:rPr>
        <w:t>56</w:t>
      </w:r>
      <w:r>
        <w:rPr>
          <w:sz w:val="24"/>
          <w:szCs w:val="24"/>
        </w:rPr>
        <w:t xml:space="preserve"> εκ. </w:t>
      </w:r>
      <w:r w:rsidRPr="005E660C">
        <w:rPr>
          <w:sz w:val="24"/>
          <w:szCs w:val="24"/>
        </w:rPr>
        <w:t xml:space="preserve">€, ενώ </w:t>
      </w:r>
      <w:r w:rsidR="00EF302C">
        <w:rPr>
          <w:sz w:val="24"/>
          <w:szCs w:val="24"/>
        </w:rPr>
        <w:t xml:space="preserve">σύμφωνα με </w:t>
      </w:r>
      <w:r w:rsidRPr="005E660C">
        <w:rPr>
          <w:sz w:val="24"/>
          <w:szCs w:val="24"/>
        </w:rPr>
        <w:t xml:space="preserve">τα διαθέσιμα στοιχεία συνάγεται το συμπέρασμα πως εξαιτίας των αντίξοων οικονομικών συνθηκών και της περιορισμένης καταναλωτικής δαπάνης, 4 στους 10 </w:t>
      </w:r>
      <w:r w:rsidRPr="00A9474F">
        <w:rPr>
          <w:sz w:val="24"/>
          <w:szCs w:val="24"/>
        </w:rPr>
        <w:t>ελεύθερους επαγγελματίες</w:t>
      </w:r>
      <w:r>
        <w:rPr>
          <w:sz w:val="24"/>
          <w:szCs w:val="24"/>
        </w:rPr>
        <w:t xml:space="preserve"> </w:t>
      </w:r>
      <w:r>
        <w:rPr>
          <w:sz w:val="24"/>
          <w:szCs w:val="24"/>
        </w:rPr>
        <w:lastRenderedPageBreak/>
        <w:t xml:space="preserve">αδυνατούν να ανταποκριθούν στην καταβολή των ασφαλιστικών τους εισφορών. Τέλος, ακόμη μία αρνητική παράμετρος, η οποία </w:t>
      </w:r>
      <w:r w:rsidRPr="00867681">
        <w:rPr>
          <w:sz w:val="24"/>
          <w:szCs w:val="24"/>
        </w:rPr>
        <w:t>μεγεθύνει</w:t>
      </w:r>
      <w:r>
        <w:rPr>
          <w:sz w:val="24"/>
          <w:szCs w:val="24"/>
        </w:rPr>
        <w:t xml:space="preserve"> το πρόβλημα που αντιμετωπίζει το Ταμείο των εμποροβιοτεχνών, συσχετίζεται με τη μείωση </w:t>
      </w:r>
      <w:r w:rsidRPr="00A9474F">
        <w:rPr>
          <w:sz w:val="24"/>
          <w:szCs w:val="24"/>
        </w:rPr>
        <w:t>της κρατική</w:t>
      </w:r>
      <w:r>
        <w:rPr>
          <w:sz w:val="24"/>
          <w:szCs w:val="24"/>
        </w:rPr>
        <w:t xml:space="preserve">ς χρηματοδότησης κατά 279 εκ. </w:t>
      </w:r>
      <w:r w:rsidRPr="005E660C">
        <w:rPr>
          <w:sz w:val="24"/>
          <w:szCs w:val="24"/>
        </w:rPr>
        <w:t>€</w:t>
      </w:r>
      <w:r>
        <w:rPr>
          <w:sz w:val="24"/>
          <w:szCs w:val="24"/>
        </w:rPr>
        <w:t xml:space="preserve"> </w:t>
      </w:r>
      <w:r w:rsidRPr="00A9474F">
        <w:rPr>
          <w:sz w:val="24"/>
          <w:szCs w:val="24"/>
        </w:rPr>
        <w:t>το 2015</w:t>
      </w:r>
      <w:r w:rsidR="003031ED">
        <w:rPr>
          <w:sz w:val="24"/>
          <w:szCs w:val="24"/>
        </w:rPr>
        <w:t xml:space="preserve"> σε σχέση με το 2014</w:t>
      </w:r>
      <w:r w:rsidRPr="00A9474F">
        <w:rPr>
          <w:sz w:val="24"/>
          <w:szCs w:val="24"/>
        </w:rPr>
        <w:t>.</w:t>
      </w:r>
    </w:p>
    <w:p w:rsidR="00D7037F" w:rsidRDefault="00D7037F" w:rsidP="00D7037F">
      <w:pPr>
        <w:rPr>
          <w:b/>
          <w:sz w:val="26"/>
          <w:szCs w:val="26"/>
          <w:u w:val="single"/>
        </w:rPr>
      </w:pPr>
      <w:r w:rsidRPr="00E06D88">
        <w:rPr>
          <w:b/>
          <w:sz w:val="30"/>
          <w:szCs w:val="30"/>
          <w:u w:val="single"/>
        </w:rPr>
        <w:t>Δ.</w:t>
      </w:r>
      <w:r w:rsidRPr="00E06D88">
        <w:rPr>
          <w:sz w:val="30"/>
          <w:szCs w:val="30"/>
          <w:u w:val="single"/>
        </w:rPr>
        <w:t xml:space="preserve"> </w:t>
      </w:r>
      <w:r w:rsidRPr="00E06D88">
        <w:rPr>
          <w:b/>
          <w:sz w:val="26"/>
          <w:szCs w:val="26"/>
          <w:u w:val="single"/>
        </w:rPr>
        <w:t>Υφιστάμενη κατάσταση σε ΟΑΕΕ:</w:t>
      </w:r>
    </w:p>
    <w:tbl>
      <w:tblPr>
        <w:tblStyle w:val="a3"/>
        <w:tblW w:w="0" w:type="auto"/>
        <w:tblLook w:val="04A0"/>
      </w:tblPr>
      <w:tblGrid>
        <w:gridCol w:w="2130"/>
        <w:gridCol w:w="2130"/>
        <w:gridCol w:w="2131"/>
        <w:gridCol w:w="2131"/>
      </w:tblGrid>
      <w:tr w:rsidR="00282C54" w:rsidTr="00101698">
        <w:trPr>
          <w:trHeight w:val="362"/>
        </w:trPr>
        <w:tc>
          <w:tcPr>
            <w:tcW w:w="8522" w:type="dxa"/>
            <w:gridSpan w:val="4"/>
            <w:tcBorders>
              <w:top w:val="threeDEmboss" w:sz="24" w:space="0" w:color="auto"/>
              <w:left w:val="threeDEmboss" w:sz="24" w:space="0" w:color="auto"/>
              <w:bottom w:val="threeDEmboss" w:sz="24" w:space="0" w:color="auto"/>
              <w:right w:val="threeDEmboss" w:sz="24" w:space="0" w:color="auto"/>
            </w:tcBorders>
            <w:shd w:val="clear" w:color="auto" w:fill="BFBFBF" w:themeFill="background1" w:themeFillShade="BF"/>
            <w:vAlign w:val="center"/>
          </w:tcPr>
          <w:p w:rsidR="00282C54" w:rsidRPr="00282C54" w:rsidRDefault="00282C54" w:rsidP="00E60082">
            <w:pPr>
              <w:jc w:val="center"/>
              <w:rPr>
                <w:b/>
                <w:sz w:val="26"/>
                <w:szCs w:val="26"/>
              </w:rPr>
            </w:pPr>
            <w:r w:rsidRPr="00AC781B">
              <w:rPr>
                <w:b/>
                <w:i/>
                <w:sz w:val="26"/>
                <w:szCs w:val="26"/>
              </w:rPr>
              <w:t xml:space="preserve">Πίνακας </w:t>
            </w:r>
            <w:r w:rsidR="00E60082">
              <w:rPr>
                <w:b/>
                <w:i/>
                <w:sz w:val="26"/>
                <w:szCs w:val="26"/>
              </w:rPr>
              <w:t>4</w:t>
            </w:r>
            <w:r w:rsidRPr="00AC781B">
              <w:rPr>
                <w:b/>
                <w:i/>
                <w:sz w:val="26"/>
                <w:szCs w:val="26"/>
              </w:rPr>
              <w:t>:</w:t>
            </w:r>
            <w:r w:rsidRPr="00282C54">
              <w:rPr>
                <w:b/>
                <w:sz w:val="26"/>
                <w:szCs w:val="26"/>
              </w:rPr>
              <w:t xml:space="preserve"> </w:t>
            </w:r>
            <w:r w:rsidRPr="00AC781B">
              <w:rPr>
                <w:sz w:val="24"/>
                <w:szCs w:val="24"/>
              </w:rPr>
              <w:t xml:space="preserve">Υφιστάμενη </w:t>
            </w:r>
            <w:r w:rsidR="00157B5C" w:rsidRPr="00AC781B">
              <w:rPr>
                <w:sz w:val="24"/>
                <w:szCs w:val="24"/>
              </w:rPr>
              <w:t xml:space="preserve">γενική </w:t>
            </w:r>
            <w:r w:rsidRPr="00AC781B">
              <w:rPr>
                <w:sz w:val="24"/>
                <w:szCs w:val="24"/>
              </w:rPr>
              <w:t>εικόνα ΟΑΕΕ</w:t>
            </w:r>
            <w:r w:rsidR="00F9694D" w:rsidRPr="00AC781B">
              <w:rPr>
                <w:sz w:val="24"/>
                <w:szCs w:val="24"/>
              </w:rPr>
              <w:t xml:space="preserve"> (</w:t>
            </w:r>
            <w:r w:rsidR="00EF184C">
              <w:rPr>
                <w:sz w:val="24"/>
                <w:szCs w:val="24"/>
              </w:rPr>
              <w:t>εκτιμήσεις για</w:t>
            </w:r>
            <w:r w:rsidR="00F9694D" w:rsidRPr="00AC781B">
              <w:rPr>
                <w:sz w:val="24"/>
                <w:szCs w:val="24"/>
              </w:rPr>
              <w:t xml:space="preserve"> 2014)</w:t>
            </w:r>
          </w:p>
        </w:tc>
      </w:tr>
      <w:tr w:rsidR="00282C54" w:rsidTr="00E22BC9">
        <w:trPr>
          <w:trHeight w:val="445"/>
        </w:trPr>
        <w:tc>
          <w:tcPr>
            <w:tcW w:w="4260" w:type="dxa"/>
            <w:gridSpan w:val="2"/>
            <w:tcBorders>
              <w:top w:val="threeDEmboss" w:sz="24" w:space="0" w:color="auto"/>
              <w:left w:val="threeDEmboss" w:sz="24" w:space="0" w:color="auto"/>
              <w:bottom w:val="threeDEmboss" w:sz="24" w:space="0" w:color="auto"/>
              <w:right w:val="threeDEmboss" w:sz="24" w:space="0" w:color="auto"/>
            </w:tcBorders>
            <w:shd w:val="clear" w:color="auto" w:fill="B8CCE4" w:themeFill="accent1" w:themeFillTint="66"/>
            <w:vAlign w:val="center"/>
          </w:tcPr>
          <w:p w:rsidR="00282C54" w:rsidRPr="00282C54" w:rsidRDefault="00282C54" w:rsidP="00282C54">
            <w:pPr>
              <w:jc w:val="center"/>
              <w:rPr>
                <w:b/>
                <w:sz w:val="26"/>
                <w:szCs w:val="26"/>
              </w:rPr>
            </w:pPr>
            <w:r w:rsidRPr="00282C54">
              <w:rPr>
                <w:b/>
                <w:sz w:val="26"/>
                <w:szCs w:val="26"/>
              </w:rPr>
              <w:t>Ενεργοί Ασφαλισμένοι</w:t>
            </w:r>
          </w:p>
        </w:tc>
        <w:tc>
          <w:tcPr>
            <w:tcW w:w="4262" w:type="dxa"/>
            <w:gridSpan w:val="2"/>
            <w:tcBorders>
              <w:top w:val="threeDEmboss" w:sz="24" w:space="0" w:color="auto"/>
              <w:left w:val="threeDEmboss" w:sz="24" w:space="0" w:color="auto"/>
              <w:bottom w:val="threeDEmboss" w:sz="24" w:space="0" w:color="auto"/>
              <w:right w:val="threeDEmboss" w:sz="24" w:space="0" w:color="auto"/>
            </w:tcBorders>
            <w:shd w:val="clear" w:color="auto" w:fill="B8CCE4" w:themeFill="accent1" w:themeFillTint="66"/>
            <w:vAlign w:val="center"/>
          </w:tcPr>
          <w:p w:rsidR="00282C54" w:rsidRPr="00282C54" w:rsidRDefault="00282C54" w:rsidP="00282C54">
            <w:pPr>
              <w:jc w:val="center"/>
              <w:rPr>
                <w:b/>
                <w:sz w:val="26"/>
                <w:szCs w:val="26"/>
                <w:u w:val="single"/>
              </w:rPr>
            </w:pPr>
            <w:r w:rsidRPr="00282C54">
              <w:rPr>
                <w:b/>
                <w:sz w:val="26"/>
                <w:szCs w:val="26"/>
              </w:rPr>
              <w:t>Συνταξιούχοι</w:t>
            </w:r>
          </w:p>
        </w:tc>
      </w:tr>
      <w:tr w:rsidR="00282C54" w:rsidTr="00996215">
        <w:trPr>
          <w:trHeight w:val="454"/>
        </w:trPr>
        <w:tc>
          <w:tcPr>
            <w:tcW w:w="2130" w:type="dxa"/>
            <w:tcBorders>
              <w:top w:val="threeDEmboss" w:sz="24" w:space="0" w:color="auto"/>
              <w:left w:val="threeDEmboss" w:sz="24" w:space="0" w:color="auto"/>
              <w:bottom w:val="single" w:sz="4" w:space="0" w:color="auto"/>
              <w:right w:val="double" w:sz="4" w:space="0" w:color="auto"/>
            </w:tcBorders>
            <w:vAlign w:val="center"/>
          </w:tcPr>
          <w:p w:rsidR="00282C54" w:rsidRPr="00282C54" w:rsidRDefault="00282C54" w:rsidP="00282C54">
            <w:pPr>
              <w:jc w:val="center"/>
              <w:rPr>
                <w:b/>
                <w:sz w:val="26"/>
                <w:szCs w:val="26"/>
                <w:u w:val="single"/>
              </w:rPr>
            </w:pPr>
            <w:r w:rsidRPr="00282C54">
              <w:rPr>
                <w:b/>
                <w:sz w:val="24"/>
                <w:szCs w:val="24"/>
              </w:rPr>
              <w:t>ΟΑΕΕ</w:t>
            </w:r>
            <w:r>
              <w:rPr>
                <w:b/>
                <w:sz w:val="24"/>
                <w:szCs w:val="24"/>
              </w:rPr>
              <w:t xml:space="preserve"> </w:t>
            </w:r>
            <w:r w:rsidR="00E22BC9">
              <w:t>(πρώην ΤΕΒΕ, ΤΑΕ, ΤΕΑΠΕΑΠΙ,</w:t>
            </w:r>
            <w:r w:rsidRPr="00282C54">
              <w:t xml:space="preserve"> ΤΣΑ, ΤΠΞ</w:t>
            </w:r>
          </w:p>
        </w:tc>
        <w:tc>
          <w:tcPr>
            <w:tcW w:w="2130" w:type="dxa"/>
            <w:tcBorders>
              <w:top w:val="threeDEmboss" w:sz="24" w:space="0" w:color="auto"/>
              <w:left w:val="double" w:sz="4" w:space="0" w:color="auto"/>
              <w:bottom w:val="single" w:sz="4" w:space="0" w:color="auto"/>
              <w:right w:val="threeDEmboss" w:sz="24" w:space="0" w:color="auto"/>
            </w:tcBorders>
            <w:vAlign w:val="center"/>
          </w:tcPr>
          <w:p w:rsidR="00282C54" w:rsidRPr="00282C54" w:rsidRDefault="00282C54" w:rsidP="00282C54">
            <w:pPr>
              <w:jc w:val="center"/>
              <w:rPr>
                <w:b/>
                <w:sz w:val="24"/>
                <w:szCs w:val="24"/>
              </w:rPr>
            </w:pPr>
            <w:r w:rsidRPr="00282C54">
              <w:rPr>
                <w:b/>
                <w:sz w:val="24"/>
                <w:szCs w:val="24"/>
              </w:rPr>
              <w:t>735.628</w:t>
            </w:r>
          </w:p>
        </w:tc>
        <w:tc>
          <w:tcPr>
            <w:tcW w:w="2131" w:type="dxa"/>
            <w:tcBorders>
              <w:top w:val="threeDEmboss" w:sz="24" w:space="0" w:color="auto"/>
              <w:left w:val="threeDEmboss" w:sz="24" w:space="0" w:color="auto"/>
              <w:bottom w:val="single" w:sz="4" w:space="0" w:color="auto"/>
              <w:right w:val="double" w:sz="4" w:space="0" w:color="auto"/>
            </w:tcBorders>
            <w:vAlign w:val="center"/>
          </w:tcPr>
          <w:p w:rsidR="00282C54" w:rsidRDefault="00282C54" w:rsidP="00282C54">
            <w:pPr>
              <w:jc w:val="center"/>
              <w:rPr>
                <w:b/>
                <w:sz w:val="26"/>
                <w:szCs w:val="26"/>
                <w:u w:val="single"/>
              </w:rPr>
            </w:pPr>
            <w:r w:rsidRPr="00282C54">
              <w:rPr>
                <w:b/>
                <w:sz w:val="24"/>
                <w:szCs w:val="24"/>
              </w:rPr>
              <w:t xml:space="preserve">ΟΑΕΕ </w:t>
            </w:r>
            <w:r w:rsidRPr="00282C54">
              <w:rPr>
                <w:sz w:val="24"/>
                <w:szCs w:val="24"/>
              </w:rPr>
              <w:t>(ΤΕΒΕ, ΤΣΑ, ΤΑΕ)</w:t>
            </w:r>
          </w:p>
        </w:tc>
        <w:tc>
          <w:tcPr>
            <w:tcW w:w="2131" w:type="dxa"/>
            <w:tcBorders>
              <w:top w:val="threeDEmboss" w:sz="24" w:space="0" w:color="auto"/>
              <w:left w:val="double" w:sz="4" w:space="0" w:color="auto"/>
              <w:bottom w:val="single" w:sz="4" w:space="0" w:color="auto"/>
              <w:right w:val="threeDEmboss" w:sz="24" w:space="0" w:color="auto"/>
            </w:tcBorders>
            <w:vAlign w:val="center"/>
          </w:tcPr>
          <w:p w:rsidR="00282C54" w:rsidRPr="00282C54" w:rsidRDefault="00282C54" w:rsidP="00282C54">
            <w:pPr>
              <w:jc w:val="center"/>
              <w:rPr>
                <w:b/>
                <w:sz w:val="24"/>
                <w:szCs w:val="24"/>
              </w:rPr>
            </w:pPr>
            <w:r w:rsidRPr="00282C54">
              <w:rPr>
                <w:b/>
                <w:sz w:val="24"/>
                <w:szCs w:val="24"/>
              </w:rPr>
              <w:t>354.180</w:t>
            </w:r>
          </w:p>
        </w:tc>
      </w:tr>
      <w:tr w:rsidR="00282C54" w:rsidTr="00996215">
        <w:trPr>
          <w:trHeight w:val="454"/>
        </w:trPr>
        <w:tc>
          <w:tcPr>
            <w:tcW w:w="2130" w:type="dxa"/>
            <w:tcBorders>
              <w:left w:val="threeDEmboss" w:sz="24" w:space="0" w:color="auto"/>
              <w:bottom w:val="single" w:sz="4" w:space="0" w:color="auto"/>
              <w:right w:val="double" w:sz="4" w:space="0" w:color="auto"/>
            </w:tcBorders>
            <w:vAlign w:val="center"/>
          </w:tcPr>
          <w:p w:rsidR="00282C54" w:rsidRPr="00282C54" w:rsidRDefault="00282C54" w:rsidP="00282C54">
            <w:pPr>
              <w:jc w:val="center"/>
              <w:rPr>
                <w:b/>
                <w:sz w:val="24"/>
                <w:szCs w:val="24"/>
              </w:rPr>
            </w:pPr>
            <w:r w:rsidRPr="00282C54">
              <w:rPr>
                <w:b/>
                <w:sz w:val="24"/>
                <w:szCs w:val="24"/>
              </w:rPr>
              <w:t>ΤΑΝΤΠ</w:t>
            </w:r>
          </w:p>
        </w:tc>
        <w:tc>
          <w:tcPr>
            <w:tcW w:w="2130" w:type="dxa"/>
            <w:tcBorders>
              <w:left w:val="double" w:sz="4" w:space="0" w:color="auto"/>
              <w:bottom w:val="single" w:sz="4" w:space="0" w:color="auto"/>
              <w:right w:val="threeDEmboss" w:sz="24" w:space="0" w:color="auto"/>
            </w:tcBorders>
            <w:vAlign w:val="center"/>
          </w:tcPr>
          <w:p w:rsidR="00282C54" w:rsidRPr="00282C54" w:rsidRDefault="00282C54" w:rsidP="00282C54">
            <w:pPr>
              <w:jc w:val="center"/>
              <w:rPr>
                <w:b/>
                <w:sz w:val="24"/>
                <w:szCs w:val="24"/>
              </w:rPr>
            </w:pPr>
            <w:r w:rsidRPr="00282C54">
              <w:rPr>
                <w:b/>
                <w:sz w:val="24"/>
                <w:szCs w:val="24"/>
              </w:rPr>
              <w:t>7.659</w:t>
            </w:r>
          </w:p>
        </w:tc>
        <w:tc>
          <w:tcPr>
            <w:tcW w:w="2131" w:type="dxa"/>
            <w:tcBorders>
              <w:left w:val="threeDEmboss" w:sz="24" w:space="0" w:color="auto"/>
              <w:bottom w:val="single" w:sz="4" w:space="0" w:color="auto"/>
              <w:right w:val="double" w:sz="4" w:space="0" w:color="auto"/>
            </w:tcBorders>
            <w:vAlign w:val="center"/>
          </w:tcPr>
          <w:p w:rsidR="00282C54" w:rsidRPr="00282C54" w:rsidRDefault="00282C54" w:rsidP="00282C54">
            <w:pPr>
              <w:jc w:val="center"/>
              <w:rPr>
                <w:sz w:val="24"/>
                <w:szCs w:val="24"/>
              </w:rPr>
            </w:pPr>
            <w:r w:rsidRPr="00282C54">
              <w:rPr>
                <w:sz w:val="24"/>
                <w:szCs w:val="24"/>
              </w:rPr>
              <w:t>- Αναπηρίας</w:t>
            </w:r>
          </w:p>
        </w:tc>
        <w:tc>
          <w:tcPr>
            <w:tcW w:w="2131" w:type="dxa"/>
            <w:tcBorders>
              <w:left w:val="double" w:sz="4" w:space="0" w:color="auto"/>
              <w:bottom w:val="single" w:sz="4" w:space="0" w:color="auto"/>
              <w:right w:val="threeDEmboss" w:sz="24" w:space="0" w:color="auto"/>
            </w:tcBorders>
            <w:vAlign w:val="center"/>
          </w:tcPr>
          <w:p w:rsidR="00282C54" w:rsidRPr="00282C54" w:rsidRDefault="00282C54" w:rsidP="00282C54">
            <w:pPr>
              <w:jc w:val="center"/>
              <w:rPr>
                <w:sz w:val="24"/>
                <w:szCs w:val="24"/>
              </w:rPr>
            </w:pPr>
            <w:r w:rsidRPr="00282C54">
              <w:rPr>
                <w:sz w:val="24"/>
                <w:szCs w:val="24"/>
              </w:rPr>
              <w:t>29.893</w:t>
            </w:r>
          </w:p>
        </w:tc>
      </w:tr>
      <w:tr w:rsidR="00282C54" w:rsidTr="00A85422">
        <w:trPr>
          <w:trHeight w:val="285"/>
        </w:trPr>
        <w:tc>
          <w:tcPr>
            <w:tcW w:w="2130" w:type="dxa"/>
            <w:tcBorders>
              <w:top w:val="single" w:sz="4" w:space="0" w:color="auto"/>
              <w:left w:val="threeDEmboss" w:sz="24" w:space="0" w:color="auto"/>
              <w:bottom w:val="single" w:sz="4" w:space="0" w:color="auto"/>
              <w:right w:val="double" w:sz="4" w:space="0" w:color="auto"/>
            </w:tcBorders>
            <w:vAlign w:val="center"/>
          </w:tcPr>
          <w:p w:rsidR="00282C54" w:rsidRPr="00282C54" w:rsidRDefault="00282C54" w:rsidP="00282C54">
            <w:pPr>
              <w:jc w:val="center"/>
              <w:rPr>
                <w:b/>
                <w:sz w:val="24"/>
                <w:szCs w:val="24"/>
              </w:rPr>
            </w:pPr>
            <w:r w:rsidRPr="00282C54">
              <w:rPr>
                <w:b/>
                <w:sz w:val="24"/>
                <w:szCs w:val="24"/>
              </w:rPr>
              <w:t>ΤΕΑΑ</w:t>
            </w:r>
          </w:p>
        </w:tc>
        <w:tc>
          <w:tcPr>
            <w:tcW w:w="2130" w:type="dxa"/>
            <w:tcBorders>
              <w:top w:val="single" w:sz="4" w:space="0" w:color="auto"/>
              <w:left w:val="double" w:sz="4" w:space="0" w:color="auto"/>
              <w:bottom w:val="single" w:sz="4" w:space="0" w:color="auto"/>
              <w:right w:val="threeDEmboss" w:sz="24" w:space="0" w:color="auto"/>
            </w:tcBorders>
            <w:vAlign w:val="center"/>
          </w:tcPr>
          <w:p w:rsidR="00282C54" w:rsidRPr="00282C54" w:rsidRDefault="00282C54" w:rsidP="00282C54">
            <w:pPr>
              <w:jc w:val="center"/>
              <w:rPr>
                <w:b/>
                <w:sz w:val="24"/>
                <w:szCs w:val="24"/>
              </w:rPr>
            </w:pPr>
            <w:r w:rsidRPr="00282C54">
              <w:rPr>
                <w:b/>
                <w:sz w:val="24"/>
                <w:szCs w:val="24"/>
              </w:rPr>
              <w:t>9.150</w:t>
            </w:r>
          </w:p>
        </w:tc>
        <w:tc>
          <w:tcPr>
            <w:tcW w:w="2131" w:type="dxa"/>
            <w:tcBorders>
              <w:top w:val="single" w:sz="4" w:space="0" w:color="auto"/>
              <w:left w:val="threeDEmboss" w:sz="24" w:space="0" w:color="auto"/>
              <w:bottom w:val="single" w:sz="4" w:space="0" w:color="auto"/>
              <w:right w:val="double" w:sz="4" w:space="0" w:color="auto"/>
            </w:tcBorders>
            <w:vAlign w:val="center"/>
          </w:tcPr>
          <w:p w:rsidR="00282C54" w:rsidRPr="00282C54" w:rsidRDefault="00282C54" w:rsidP="00282C54">
            <w:pPr>
              <w:jc w:val="center"/>
              <w:rPr>
                <w:sz w:val="24"/>
                <w:szCs w:val="24"/>
              </w:rPr>
            </w:pPr>
            <w:r w:rsidRPr="00282C54">
              <w:rPr>
                <w:sz w:val="24"/>
                <w:szCs w:val="24"/>
              </w:rPr>
              <w:t>-Γήρατος</w:t>
            </w:r>
          </w:p>
        </w:tc>
        <w:tc>
          <w:tcPr>
            <w:tcW w:w="2131" w:type="dxa"/>
            <w:tcBorders>
              <w:top w:val="single" w:sz="4" w:space="0" w:color="auto"/>
              <w:left w:val="double" w:sz="4" w:space="0" w:color="auto"/>
              <w:bottom w:val="single" w:sz="4" w:space="0" w:color="auto"/>
              <w:right w:val="threeDEmboss" w:sz="24" w:space="0" w:color="auto"/>
            </w:tcBorders>
            <w:vAlign w:val="center"/>
          </w:tcPr>
          <w:p w:rsidR="00282C54" w:rsidRPr="00282C54" w:rsidRDefault="00282C54" w:rsidP="00282C54">
            <w:pPr>
              <w:jc w:val="center"/>
              <w:rPr>
                <w:sz w:val="24"/>
                <w:szCs w:val="24"/>
              </w:rPr>
            </w:pPr>
            <w:r w:rsidRPr="00282C54">
              <w:rPr>
                <w:sz w:val="24"/>
                <w:szCs w:val="24"/>
              </w:rPr>
              <w:t>205.361</w:t>
            </w:r>
          </w:p>
        </w:tc>
      </w:tr>
      <w:tr w:rsidR="00282C54" w:rsidTr="00A85422">
        <w:trPr>
          <w:trHeight w:val="454"/>
        </w:trPr>
        <w:tc>
          <w:tcPr>
            <w:tcW w:w="2130" w:type="dxa"/>
            <w:tcBorders>
              <w:left w:val="threeDEmboss" w:sz="24" w:space="0" w:color="auto"/>
              <w:bottom w:val="single" w:sz="4" w:space="0" w:color="auto"/>
              <w:right w:val="double" w:sz="4" w:space="0" w:color="auto"/>
            </w:tcBorders>
            <w:vAlign w:val="center"/>
          </w:tcPr>
          <w:p w:rsidR="00282C54" w:rsidRPr="00282C54" w:rsidRDefault="00282C54" w:rsidP="00282C54">
            <w:pPr>
              <w:jc w:val="center"/>
              <w:rPr>
                <w:b/>
                <w:sz w:val="24"/>
                <w:szCs w:val="24"/>
              </w:rPr>
            </w:pPr>
            <w:r w:rsidRPr="00282C54">
              <w:rPr>
                <w:b/>
                <w:sz w:val="24"/>
                <w:szCs w:val="24"/>
              </w:rPr>
              <w:t>ΤΕΑΠΥΚ</w:t>
            </w:r>
          </w:p>
        </w:tc>
        <w:tc>
          <w:tcPr>
            <w:tcW w:w="2130" w:type="dxa"/>
            <w:tcBorders>
              <w:left w:val="double" w:sz="4" w:space="0" w:color="auto"/>
              <w:bottom w:val="single" w:sz="4" w:space="0" w:color="auto"/>
              <w:right w:val="threeDEmboss" w:sz="24" w:space="0" w:color="auto"/>
            </w:tcBorders>
            <w:vAlign w:val="center"/>
          </w:tcPr>
          <w:p w:rsidR="00282C54" w:rsidRPr="00282C54" w:rsidRDefault="00282C54" w:rsidP="00282C54">
            <w:pPr>
              <w:jc w:val="center"/>
              <w:rPr>
                <w:b/>
                <w:sz w:val="24"/>
                <w:szCs w:val="24"/>
              </w:rPr>
            </w:pPr>
            <w:r w:rsidRPr="00282C54">
              <w:rPr>
                <w:b/>
                <w:sz w:val="24"/>
                <w:szCs w:val="24"/>
              </w:rPr>
              <w:t>7.387</w:t>
            </w:r>
          </w:p>
        </w:tc>
        <w:tc>
          <w:tcPr>
            <w:tcW w:w="2131" w:type="dxa"/>
            <w:tcBorders>
              <w:left w:val="threeDEmboss" w:sz="24" w:space="0" w:color="auto"/>
              <w:bottom w:val="single" w:sz="4" w:space="0" w:color="auto"/>
              <w:right w:val="double" w:sz="4" w:space="0" w:color="auto"/>
            </w:tcBorders>
            <w:vAlign w:val="center"/>
          </w:tcPr>
          <w:p w:rsidR="00282C54" w:rsidRPr="00282C54" w:rsidRDefault="00282C54" w:rsidP="00282C54">
            <w:pPr>
              <w:jc w:val="center"/>
              <w:rPr>
                <w:sz w:val="24"/>
                <w:szCs w:val="24"/>
              </w:rPr>
            </w:pPr>
            <w:r w:rsidRPr="00282C54">
              <w:rPr>
                <w:sz w:val="24"/>
                <w:szCs w:val="24"/>
              </w:rPr>
              <w:t>-Θανάτου</w:t>
            </w:r>
          </w:p>
        </w:tc>
        <w:tc>
          <w:tcPr>
            <w:tcW w:w="2131" w:type="dxa"/>
            <w:tcBorders>
              <w:left w:val="double" w:sz="4" w:space="0" w:color="auto"/>
              <w:bottom w:val="single" w:sz="4" w:space="0" w:color="auto"/>
              <w:right w:val="threeDEmboss" w:sz="24" w:space="0" w:color="auto"/>
            </w:tcBorders>
            <w:vAlign w:val="center"/>
          </w:tcPr>
          <w:p w:rsidR="00282C54" w:rsidRPr="00282C54" w:rsidRDefault="00282C54" w:rsidP="00282C54">
            <w:pPr>
              <w:jc w:val="center"/>
              <w:rPr>
                <w:sz w:val="24"/>
                <w:szCs w:val="24"/>
              </w:rPr>
            </w:pPr>
            <w:r w:rsidRPr="00282C54">
              <w:rPr>
                <w:sz w:val="24"/>
                <w:szCs w:val="24"/>
              </w:rPr>
              <w:t>116.457</w:t>
            </w:r>
          </w:p>
        </w:tc>
      </w:tr>
      <w:tr w:rsidR="00282C54" w:rsidTr="00A85422">
        <w:trPr>
          <w:trHeight w:val="454"/>
        </w:trPr>
        <w:tc>
          <w:tcPr>
            <w:tcW w:w="2130" w:type="dxa"/>
            <w:tcBorders>
              <w:top w:val="single" w:sz="4" w:space="0" w:color="auto"/>
              <w:left w:val="threeDEmboss" w:sz="24" w:space="0" w:color="auto"/>
              <w:bottom w:val="double" w:sz="4" w:space="0" w:color="auto"/>
              <w:right w:val="double" w:sz="4" w:space="0" w:color="auto"/>
            </w:tcBorders>
            <w:vAlign w:val="center"/>
          </w:tcPr>
          <w:p w:rsidR="00282C54" w:rsidRPr="00282C54" w:rsidRDefault="00282C54" w:rsidP="00282C54">
            <w:pPr>
              <w:jc w:val="center"/>
              <w:rPr>
                <w:b/>
                <w:sz w:val="24"/>
                <w:szCs w:val="24"/>
              </w:rPr>
            </w:pPr>
            <w:r w:rsidRPr="00282C54">
              <w:rPr>
                <w:b/>
                <w:sz w:val="24"/>
                <w:szCs w:val="24"/>
              </w:rPr>
              <w:t>ΤΕΑΕΕ</w:t>
            </w:r>
          </w:p>
        </w:tc>
        <w:tc>
          <w:tcPr>
            <w:tcW w:w="2130" w:type="dxa"/>
            <w:tcBorders>
              <w:top w:val="single" w:sz="4" w:space="0" w:color="auto"/>
              <w:left w:val="double" w:sz="4" w:space="0" w:color="auto"/>
              <w:bottom w:val="double" w:sz="4" w:space="0" w:color="auto"/>
              <w:right w:val="threeDEmboss" w:sz="24" w:space="0" w:color="auto"/>
            </w:tcBorders>
            <w:vAlign w:val="center"/>
          </w:tcPr>
          <w:p w:rsidR="00282C54" w:rsidRPr="00282C54" w:rsidRDefault="00282C54" w:rsidP="00282C54">
            <w:pPr>
              <w:jc w:val="center"/>
              <w:rPr>
                <w:b/>
                <w:sz w:val="24"/>
                <w:szCs w:val="24"/>
              </w:rPr>
            </w:pPr>
            <w:r w:rsidRPr="00282C54">
              <w:rPr>
                <w:b/>
                <w:sz w:val="24"/>
                <w:szCs w:val="24"/>
              </w:rPr>
              <w:t>750</w:t>
            </w:r>
          </w:p>
        </w:tc>
        <w:tc>
          <w:tcPr>
            <w:tcW w:w="2131" w:type="dxa"/>
            <w:tcBorders>
              <w:top w:val="single" w:sz="4" w:space="0" w:color="auto"/>
              <w:left w:val="threeDEmboss" w:sz="24" w:space="0" w:color="auto"/>
              <w:right w:val="double" w:sz="4" w:space="0" w:color="auto"/>
            </w:tcBorders>
            <w:vAlign w:val="center"/>
          </w:tcPr>
          <w:p w:rsidR="00282C54" w:rsidRPr="00282C54" w:rsidRDefault="00282C54" w:rsidP="00282C54">
            <w:pPr>
              <w:jc w:val="center"/>
              <w:rPr>
                <w:sz w:val="24"/>
                <w:szCs w:val="24"/>
              </w:rPr>
            </w:pPr>
            <w:r w:rsidRPr="00282C54">
              <w:rPr>
                <w:sz w:val="24"/>
                <w:szCs w:val="24"/>
              </w:rPr>
              <w:t>-Παραπληγίας</w:t>
            </w:r>
          </w:p>
        </w:tc>
        <w:tc>
          <w:tcPr>
            <w:tcW w:w="2131" w:type="dxa"/>
            <w:tcBorders>
              <w:top w:val="single" w:sz="4" w:space="0" w:color="auto"/>
              <w:left w:val="double" w:sz="4" w:space="0" w:color="auto"/>
              <w:right w:val="threeDEmboss" w:sz="24" w:space="0" w:color="auto"/>
            </w:tcBorders>
            <w:vAlign w:val="center"/>
          </w:tcPr>
          <w:p w:rsidR="00282C54" w:rsidRPr="00282C54" w:rsidRDefault="00282C54" w:rsidP="00282C54">
            <w:pPr>
              <w:jc w:val="center"/>
              <w:rPr>
                <w:sz w:val="24"/>
                <w:szCs w:val="24"/>
              </w:rPr>
            </w:pPr>
            <w:r w:rsidRPr="00282C54">
              <w:rPr>
                <w:sz w:val="24"/>
                <w:szCs w:val="24"/>
              </w:rPr>
              <w:t>2.469</w:t>
            </w:r>
          </w:p>
        </w:tc>
      </w:tr>
      <w:tr w:rsidR="00282C54" w:rsidTr="00150CF0">
        <w:trPr>
          <w:trHeight w:val="454"/>
        </w:trPr>
        <w:tc>
          <w:tcPr>
            <w:tcW w:w="2130" w:type="dxa"/>
            <w:tcBorders>
              <w:top w:val="double" w:sz="4" w:space="0" w:color="auto"/>
              <w:left w:val="threeDEmboss" w:sz="24" w:space="0" w:color="auto"/>
              <w:bottom w:val="threeDEmboss" w:sz="24" w:space="0" w:color="auto"/>
              <w:right w:val="double" w:sz="4" w:space="0" w:color="auto"/>
            </w:tcBorders>
            <w:shd w:val="clear" w:color="auto" w:fill="B8CCE4" w:themeFill="accent1" w:themeFillTint="66"/>
            <w:vAlign w:val="center"/>
          </w:tcPr>
          <w:p w:rsidR="00282C54" w:rsidRPr="00282C54" w:rsidRDefault="00282C54" w:rsidP="00282C54">
            <w:pPr>
              <w:jc w:val="center"/>
              <w:rPr>
                <w:b/>
                <w:sz w:val="26"/>
                <w:szCs w:val="26"/>
              </w:rPr>
            </w:pPr>
            <w:r w:rsidRPr="00282C54">
              <w:rPr>
                <w:b/>
                <w:sz w:val="26"/>
                <w:szCs w:val="26"/>
              </w:rPr>
              <w:t>Σύνολο</w:t>
            </w:r>
            <w:r>
              <w:rPr>
                <w:b/>
                <w:sz w:val="26"/>
                <w:szCs w:val="26"/>
              </w:rPr>
              <w:t xml:space="preserve"> ασφαλισμένων</w:t>
            </w:r>
          </w:p>
        </w:tc>
        <w:tc>
          <w:tcPr>
            <w:tcW w:w="2130" w:type="dxa"/>
            <w:tcBorders>
              <w:top w:val="double" w:sz="4" w:space="0" w:color="auto"/>
              <w:left w:val="double" w:sz="4" w:space="0" w:color="auto"/>
              <w:bottom w:val="threeDEmboss" w:sz="24" w:space="0" w:color="auto"/>
              <w:right w:val="threeDEmboss" w:sz="24" w:space="0" w:color="auto"/>
            </w:tcBorders>
            <w:shd w:val="clear" w:color="auto" w:fill="B8CCE4" w:themeFill="accent1" w:themeFillTint="66"/>
            <w:vAlign w:val="center"/>
          </w:tcPr>
          <w:p w:rsidR="00282C54" w:rsidRPr="00282C54" w:rsidRDefault="00282C54" w:rsidP="00282C54">
            <w:pPr>
              <w:jc w:val="center"/>
              <w:rPr>
                <w:b/>
                <w:sz w:val="26"/>
                <w:szCs w:val="26"/>
              </w:rPr>
            </w:pPr>
            <w:r w:rsidRPr="00282C54">
              <w:rPr>
                <w:b/>
                <w:sz w:val="26"/>
                <w:szCs w:val="26"/>
              </w:rPr>
              <w:t>760.574</w:t>
            </w:r>
          </w:p>
        </w:tc>
        <w:tc>
          <w:tcPr>
            <w:tcW w:w="2131" w:type="dxa"/>
            <w:tcBorders>
              <w:left w:val="threeDEmboss" w:sz="24" w:space="0" w:color="auto"/>
              <w:bottom w:val="threeDEmboss" w:sz="24" w:space="0" w:color="auto"/>
              <w:right w:val="double" w:sz="4" w:space="0" w:color="auto"/>
            </w:tcBorders>
            <w:vAlign w:val="center"/>
          </w:tcPr>
          <w:p w:rsidR="00282C54" w:rsidRPr="00282C54" w:rsidRDefault="00282C54" w:rsidP="00282C54">
            <w:pPr>
              <w:jc w:val="center"/>
              <w:rPr>
                <w:b/>
                <w:sz w:val="24"/>
                <w:szCs w:val="24"/>
              </w:rPr>
            </w:pPr>
            <w:r w:rsidRPr="00282C54">
              <w:rPr>
                <w:b/>
                <w:sz w:val="24"/>
                <w:szCs w:val="24"/>
              </w:rPr>
              <w:t>ΤΑΝΠΥ</w:t>
            </w:r>
          </w:p>
        </w:tc>
        <w:tc>
          <w:tcPr>
            <w:tcW w:w="2131" w:type="dxa"/>
            <w:tcBorders>
              <w:left w:val="double" w:sz="4" w:space="0" w:color="auto"/>
              <w:bottom w:val="threeDEmboss" w:sz="24" w:space="0" w:color="auto"/>
              <w:right w:val="threeDEmboss" w:sz="24" w:space="0" w:color="auto"/>
            </w:tcBorders>
            <w:vAlign w:val="center"/>
          </w:tcPr>
          <w:p w:rsidR="00282C54" w:rsidRPr="00282C54" w:rsidRDefault="00282C54" w:rsidP="00282C54">
            <w:pPr>
              <w:jc w:val="center"/>
              <w:rPr>
                <w:b/>
                <w:sz w:val="24"/>
                <w:szCs w:val="24"/>
              </w:rPr>
            </w:pPr>
            <w:r w:rsidRPr="00282C54">
              <w:rPr>
                <w:b/>
                <w:sz w:val="24"/>
                <w:szCs w:val="24"/>
              </w:rPr>
              <w:t>2.032</w:t>
            </w:r>
          </w:p>
        </w:tc>
      </w:tr>
      <w:tr w:rsidR="00282C54" w:rsidTr="00150CF0">
        <w:trPr>
          <w:trHeight w:val="454"/>
        </w:trPr>
        <w:tc>
          <w:tcPr>
            <w:tcW w:w="4260" w:type="dxa"/>
            <w:gridSpan w:val="2"/>
            <w:vMerge w:val="restart"/>
            <w:tcBorders>
              <w:top w:val="threeDEmboss" w:sz="24" w:space="0" w:color="auto"/>
              <w:left w:val="threeDEmboss" w:sz="24" w:space="0" w:color="auto"/>
              <w:bottom w:val="threeDEmboss" w:sz="24" w:space="0" w:color="auto"/>
              <w:right w:val="threeDEmboss" w:sz="24" w:space="0" w:color="auto"/>
            </w:tcBorders>
            <w:shd w:val="clear" w:color="auto" w:fill="BFBFBF" w:themeFill="background1" w:themeFillShade="BF"/>
            <w:vAlign w:val="center"/>
          </w:tcPr>
          <w:p w:rsidR="00282C54" w:rsidRPr="00282C54" w:rsidRDefault="00282C54" w:rsidP="00282C54">
            <w:pPr>
              <w:rPr>
                <w:sz w:val="24"/>
                <w:szCs w:val="24"/>
              </w:rPr>
            </w:pPr>
          </w:p>
        </w:tc>
        <w:tc>
          <w:tcPr>
            <w:tcW w:w="2131" w:type="dxa"/>
            <w:tcBorders>
              <w:top w:val="threeDEmboss" w:sz="24" w:space="0" w:color="auto"/>
              <w:left w:val="threeDEmboss" w:sz="24" w:space="0" w:color="auto"/>
              <w:bottom w:val="single" w:sz="4" w:space="0" w:color="auto"/>
              <w:right w:val="double" w:sz="4" w:space="0" w:color="auto"/>
            </w:tcBorders>
            <w:vAlign w:val="center"/>
          </w:tcPr>
          <w:p w:rsidR="00282C54" w:rsidRPr="00282C54" w:rsidRDefault="00282C54" w:rsidP="00282C54">
            <w:pPr>
              <w:jc w:val="center"/>
              <w:rPr>
                <w:sz w:val="24"/>
                <w:szCs w:val="24"/>
              </w:rPr>
            </w:pPr>
            <w:r w:rsidRPr="00282C54">
              <w:rPr>
                <w:sz w:val="24"/>
                <w:szCs w:val="24"/>
              </w:rPr>
              <w:t>-Αναπηρίας</w:t>
            </w:r>
          </w:p>
        </w:tc>
        <w:tc>
          <w:tcPr>
            <w:tcW w:w="2131" w:type="dxa"/>
            <w:tcBorders>
              <w:top w:val="threeDEmboss" w:sz="24" w:space="0" w:color="auto"/>
              <w:left w:val="double" w:sz="4" w:space="0" w:color="auto"/>
              <w:bottom w:val="single" w:sz="4" w:space="0" w:color="auto"/>
              <w:right w:val="threeDEmboss" w:sz="24" w:space="0" w:color="auto"/>
            </w:tcBorders>
            <w:vAlign w:val="center"/>
          </w:tcPr>
          <w:p w:rsidR="00282C54" w:rsidRPr="00282C54" w:rsidRDefault="00282C54" w:rsidP="00282C54">
            <w:pPr>
              <w:jc w:val="center"/>
              <w:rPr>
                <w:sz w:val="24"/>
                <w:szCs w:val="24"/>
              </w:rPr>
            </w:pPr>
            <w:r w:rsidRPr="00282C54">
              <w:rPr>
                <w:sz w:val="24"/>
                <w:szCs w:val="24"/>
              </w:rPr>
              <w:t>68</w:t>
            </w:r>
          </w:p>
        </w:tc>
      </w:tr>
      <w:tr w:rsidR="00282C54" w:rsidTr="00150CF0">
        <w:trPr>
          <w:trHeight w:val="454"/>
        </w:trPr>
        <w:tc>
          <w:tcPr>
            <w:tcW w:w="4260" w:type="dxa"/>
            <w:gridSpan w:val="2"/>
            <w:vMerge/>
            <w:tcBorders>
              <w:left w:val="threeDEmboss" w:sz="24" w:space="0" w:color="auto"/>
              <w:bottom w:val="threeDEmboss" w:sz="24" w:space="0" w:color="auto"/>
              <w:right w:val="threeDEmboss" w:sz="24" w:space="0" w:color="auto"/>
            </w:tcBorders>
            <w:shd w:val="clear" w:color="auto" w:fill="BFBFBF" w:themeFill="background1" w:themeFillShade="BF"/>
            <w:vAlign w:val="center"/>
          </w:tcPr>
          <w:p w:rsidR="00282C54" w:rsidRPr="00282C54" w:rsidRDefault="00282C54" w:rsidP="00282C54">
            <w:pPr>
              <w:rPr>
                <w:sz w:val="24"/>
                <w:szCs w:val="24"/>
              </w:rPr>
            </w:pPr>
          </w:p>
        </w:tc>
        <w:tc>
          <w:tcPr>
            <w:tcW w:w="2131" w:type="dxa"/>
            <w:tcBorders>
              <w:left w:val="threeDEmboss" w:sz="24" w:space="0" w:color="auto"/>
              <w:right w:val="double" w:sz="4" w:space="0" w:color="auto"/>
            </w:tcBorders>
            <w:vAlign w:val="center"/>
          </w:tcPr>
          <w:p w:rsidR="00282C54" w:rsidRPr="00282C54" w:rsidRDefault="00282C54" w:rsidP="00282C54">
            <w:pPr>
              <w:jc w:val="center"/>
              <w:rPr>
                <w:sz w:val="24"/>
                <w:szCs w:val="24"/>
              </w:rPr>
            </w:pPr>
            <w:r w:rsidRPr="00282C54">
              <w:rPr>
                <w:sz w:val="24"/>
                <w:szCs w:val="24"/>
              </w:rPr>
              <w:t>-Γήρατος</w:t>
            </w:r>
          </w:p>
        </w:tc>
        <w:tc>
          <w:tcPr>
            <w:tcW w:w="2131" w:type="dxa"/>
            <w:tcBorders>
              <w:top w:val="single" w:sz="4" w:space="0" w:color="auto"/>
              <w:left w:val="double" w:sz="4" w:space="0" w:color="auto"/>
              <w:right w:val="threeDEmboss" w:sz="24" w:space="0" w:color="auto"/>
            </w:tcBorders>
            <w:vAlign w:val="center"/>
          </w:tcPr>
          <w:p w:rsidR="00282C54" w:rsidRPr="00282C54" w:rsidRDefault="00282C54" w:rsidP="00282C54">
            <w:pPr>
              <w:jc w:val="center"/>
              <w:rPr>
                <w:sz w:val="24"/>
                <w:szCs w:val="24"/>
              </w:rPr>
            </w:pPr>
            <w:r w:rsidRPr="00282C54">
              <w:rPr>
                <w:sz w:val="24"/>
                <w:szCs w:val="24"/>
              </w:rPr>
              <w:t>1.378</w:t>
            </w:r>
          </w:p>
        </w:tc>
      </w:tr>
      <w:tr w:rsidR="00282C54" w:rsidTr="00157B5C">
        <w:trPr>
          <w:trHeight w:val="454"/>
        </w:trPr>
        <w:tc>
          <w:tcPr>
            <w:tcW w:w="4260" w:type="dxa"/>
            <w:gridSpan w:val="2"/>
            <w:vMerge/>
            <w:tcBorders>
              <w:left w:val="threeDEmboss" w:sz="24" w:space="0" w:color="auto"/>
              <w:bottom w:val="threeDEmboss" w:sz="24" w:space="0" w:color="auto"/>
              <w:right w:val="threeDEmboss" w:sz="24" w:space="0" w:color="auto"/>
            </w:tcBorders>
            <w:shd w:val="clear" w:color="auto" w:fill="BFBFBF" w:themeFill="background1" w:themeFillShade="BF"/>
            <w:vAlign w:val="center"/>
          </w:tcPr>
          <w:p w:rsidR="00282C54" w:rsidRPr="00282C54" w:rsidRDefault="00282C54" w:rsidP="00282C54">
            <w:pPr>
              <w:rPr>
                <w:sz w:val="24"/>
                <w:szCs w:val="24"/>
              </w:rPr>
            </w:pPr>
          </w:p>
        </w:tc>
        <w:tc>
          <w:tcPr>
            <w:tcW w:w="2131" w:type="dxa"/>
            <w:tcBorders>
              <w:left w:val="threeDEmboss" w:sz="24" w:space="0" w:color="auto"/>
              <w:right w:val="double" w:sz="4" w:space="0" w:color="auto"/>
            </w:tcBorders>
            <w:vAlign w:val="center"/>
          </w:tcPr>
          <w:p w:rsidR="00282C54" w:rsidRPr="00282C54" w:rsidRDefault="00282C54" w:rsidP="00282C54">
            <w:pPr>
              <w:jc w:val="center"/>
              <w:rPr>
                <w:sz w:val="24"/>
                <w:szCs w:val="24"/>
              </w:rPr>
            </w:pPr>
            <w:r w:rsidRPr="00282C54">
              <w:rPr>
                <w:sz w:val="24"/>
                <w:szCs w:val="24"/>
              </w:rPr>
              <w:t>-Θανάτου</w:t>
            </w:r>
          </w:p>
        </w:tc>
        <w:tc>
          <w:tcPr>
            <w:tcW w:w="2131" w:type="dxa"/>
            <w:tcBorders>
              <w:left w:val="double" w:sz="4" w:space="0" w:color="auto"/>
              <w:right w:val="threeDEmboss" w:sz="24" w:space="0" w:color="auto"/>
            </w:tcBorders>
            <w:vAlign w:val="center"/>
          </w:tcPr>
          <w:p w:rsidR="00282C54" w:rsidRPr="00282C54" w:rsidRDefault="00282C54" w:rsidP="00282C54">
            <w:pPr>
              <w:jc w:val="center"/>
              <w:rPr>
                <w:sz w:val="24"/>
                <w:szCs w:val="24"/>
              </w:rPr>
            </w:pPr>
            <w:r w:rsidRPr="00282C54">
              <w:rPr>
                <w:sz w:val="24"/>
                <w:szCs w:val="24"/>
              </w:rPr>
              <w:t>586</w:t>
            </w:r>
          </w:p>
        </w:tc>
      </w:tr>
      <w:tr w:rsidR="00282C54" w:rsidTr="00157B5C">
        <w:trPr>
          <w:trHeight w:val="454"/>
        </w:trPr>
        <w:tc>
          <w:tcPr>
            <w:tcW w:w="4260" w:type="dxa"/>
            <w:gridSpan w:val="2"/>
            <w:vMerge/>
            <w:tcBorders>
              <w:left w:val="threeDEmboss" w:sz="24" w:space="0" w:color="auto"/>
              <w:bottom w:val="threeDEmboss" w:sz="24" w:space="0" w:color="auto"/>
              <w:right w:val="threeDEmboss" w:sz="24" w:space="0" w:color="auto"/>
            </w:tcBorders>
            <w:shd w:val="clear" w:color="auto" w:fill="BFBFBF" w:themeFill="background1" w:themeFillShade="BF"/>
            <w:vAlign w:val="center"/>
          </w:tcPr>
          <w:p w:rsidR="00282C54" w:rsidRDefault="00282C54" w:rsidP="00282C54">
            <w:pPr>
              <w:jc w:val="center"/>
              <w:rPr>
                <w:b/>
                <w:sz w:val="26"/>
                <w:szCs w:val="26"/>
                <w:u w:val="single"/>
              </w:rPr>
            </w:pPr>
          </w:p>
        </w:tc>
        <w:tc>
          <w:tcPr>
            <w:tcW w:w="2131" w:type="dxa"/>
            <w:tcBorders>
              <w:left w:val="threeDEmboss" w:sz="24" w:space="0" w:color="auto"/>
              <w:bottom w:val="single" w:sz="4" w:space="0" w:color="auto"/>
              <w:right w:val="double" w:sz="4" w:space="0" w:color="auto"/>
            </w:tcBorders>
            <w:vAlign w:val="center"/>
          </w:tcPr>
          <w:p w:rsidR="00282C54" w:rsidRPr="00282C54" w:rsidRDefault="00282C54" w:rsidP="00282C54">
            <w:pPr>
              <w:jc w:val="center"/>
              <w:rPr>
                <w:b/>
                <w:sz w:val="26"/>
                <w:szCs w:val="26"/>
              </w:rPr>
            </w:pPr>
            <w:r w:rsidRPr="00282C54">
              <w:rPr>
                <w:b/>
                <w:sz w:val="26"/>
                <w:szCs w:val="26"/>
              </w:rPr>
              <w:t>ΤΕΑΑ</w:t>
            </w:r>
          </w:p>
        </w:tc>
        <w:tc>
          <w:tcPr>
            <w:tcW w:w="2131" w:type="dxa"/>
            <w:tcBorders>
              <w:left w:val="double" w:sz="4" w:space="0" w:color="auto"/>
              <w:bottom w:val="single" w:sz="4" w:space="0" w:color="auto"/>
              <w:right w:val="threeDEmboss" w:sz="24" w:space="0" w:color="auto"/>
            </w:tcBorders>
            <w:vAlign w:val="center"/>
          </w:tcPr>
          <w:p w:rsidR="00282C54" w:rsidRPr="00282C54" w:rsidRDefault="00282C54" w:rsidP="00282C54">
            <w:pPr>
              <w:jc w:val="center"/>
              <w:rPr>
                <w:b/>
                <w:sz w:val="24"/>
                <w:szCs w:val="24"/>
              </w:rPr>
            </w:pPr>
            <w:r w:rsidRPr="00282C54">
              <w:rPr>
                <w:b/>
                <w:sz w:val="24"/>
                <w:szCs w:val="24"/>
              </w:rPr>
              <w:t>4.005</w:t>
            </w:r>
          </w:p>
        </w:tc>
      </w:tr>
      <w:tr w:rsidR="00282C54" w:rsidTr="00157B5C">
        <w:trPr>
          <w:trHeight w:val="454"/>
        </w:trPr>
        <w:tc>
          <w:tcPr>
            <w:tcW w:w="4260" w:type="dxa"/>
            <w:gridSpan w:val="2"/>
            <w:vMerge/>
            <w:tcBorders>
              <w:left w:val="threeDEmboss" w:sz="24" w:space="0" w:color="auto"/>
              <w:bottom w:val="threeDEmboss" w:sz="24" w:space="0" w:color="auto"/>
              <w:right w:val="threeDEmboss" w:sz="24" w:space="0" w:color="auto"/>
            </w:tcBorders>
            <w:shd w:val="clear" w:color="auto" w:fill="BFBFBF" w:themeFill="background1" w:themeFillShade="BF"/>
            <w:vAlign w:val="center"/>
          </w:tcPr>
          <w:p w:rsidR="00282C54" w:rsidRDefault="00282C54" w:rsidP="00282C54">
            <w:pPr>
              <w:jc w:val="center"/>
              <w:rPr>
                <w:b/>
                <w:sz w:val="26"/>
                <w:szCs w:val="26"/>
                <w:u w:val="single"/>
              </w:rPr>
            </w:pPr>
          </w:p>
        </w:tc>
        <w:tc>
          <w:tcPr>
            <w:tcW w:w="2131" w:type="dxa"/>
            <w:tcBorders>
              <w:left w:val="threeDEmboss" w:sz="24" w:space="0" w:color="auto"/>
              <w:bottom w:val="double" w:sz="4" w:space="0" w:color="auto"/>
              <w:right w:val="double" w:sz="4" w:space="0" w:color="auto"/>
            </w:tcBorders>
            <w:vAlign w:val="center"/>
          </w:tcPr>
          <w:p w:rsidR="00282C54" w:rsidRPr="00282C54" w:rsidRDefault="00282C54" w:rsidP="00282C54">
            <w:pPr>
              <w:jc w:val="center"/>
              <w:rPr>
                <w:b/>
                <w:sz w:val="24"/>
                <w:szCs w:val="24"/>
              </w:rPr>
            </w:pPr>
            <w:r w:rsidRPr="00282C54">
              <w:rPr>
                <w:b/>
                <w:sz w:val="24"/>
                <w:szCs w:val="24"/>
              </w:rPr>
              <w:t>ΤΕΑΠΥΚ</w:t>
            </w:r>
          </w:p>
        </w:tc>
        <w:tc>
          <w:tcPr>
            <w:tcW w:w="2131" w:type="dxa"/>
            <w:tcBorders>
              <w:left w:val="double" w:sz="4" w:space="0" w:color="auto"/>
              <w:bottom w:val="double" w:sz="4" w:space="0" w:color="auto"/>
              <w:right w:val="threeDEmboss" w:sz="24" w:space="0" w:color="auto"/>
            </w:tcBorders>
            <w:vAlign w:val="center"/>
          </w:tcPr>
          <w:p w:rsidR="00282C54" w:rsidRPr="00282C54" w:rsidRDefault="00282C54" w:rsidP="00282C54">
            <w:pPr>
              <w:jc w:val="center"/>
              <w:rPr>
                <w:b/>
                <w:sz w:val="24"/>
                <w:szCs w:val="24"/>
              </w:rPr>
            </w:pPr>
            <w:r w:rsidRPr="00282C54">
              <w:rPr>
                <w:b/>
                <w:sz w:val="24"/>
                <w:szCs w:val="24"/>
              </w:rPr>
              <w:t>810</w:t>
            </w:r>
          </w:p>
        </w:tc>
      </w:tr>
      <w:tr w:rsidR="00282C54" w:rsidTr="00157B5C">
        <w:trPr>
          <w:trHeight w:val="454"/>
        </w:trPr>
        <w:tc>
          <w:tcPr>
            <w:tcW w:w="4260" w:type="dxa"/>
            <w:gridSpan w:val="2"/>
            <w:vMerge/>
            <w:tcBorders>
              <w:left w:val="threeDEmboss" w:sz="24" w:space="0" w:color="auto"/>
              <w:bottom w:val="threeDEmboss" w:sz="24" w:space="0" w:color="auto"/>
              <w:right w:val="threeDEmboss" w:sz="24" w:space="0" w:color="auto"/>
            </w:tcBorders>
            <w:shd w:val="clear" w:color="auto" w:fill="BFBFBF" w:themeFill="background1" w:themeFillShade="BF"/>
            <w:vAlign w:val="center"/>
          </w:tcPr>
          <w:p w:rsidR="00282C54" w:rsidRDefault="00282C54" w:rsidP="00282C54">
            <w:pPr>
              <w:jc w:val="center"/>
              <w:rPr>
                <w:b/>
                <w:sz w:val="26"/>
                <w:szCs w:val="26"/>
                <w:u w:val="single"/>
              </w:rPr>
            </w:pPr>
          </w:p>
        </w:tc>
        <w:tc>
          <w:tcPr>
            <w:tcW w:w="2131" w:type="dxa"/>
            <w:tcBorders>
              <w:top w:val="double" w:sz="4" w:space="0" w:color="auto"/>
              <w:left w:val="threeDEmboss" w:sz="24" w:space="0" w:color="auto"/>
              <w:bottom w:val="threeDEmboss" w:sz="24" w:space="0" w:color="auto"/>
              <w:right w:val="double" w:sz="4" w:space="0" w:color="auto"/>
            </w:tcBorders>
            <w:shd w:val="clear" w:color="auto" w:fill="B8CCE4" w:themeFill="accent1" w:themeFillTint="66"/>
            <w:vAlign w:val="center"/>
          </w:tcPr>
          <w:p w:rsidR="00282C54" w:rsidRPr="00282C54" w:rsidRDefault="00282C54" w:rsidP="00282C54">
            <w:pPr>
              <w:jc w:val="center"/>
              <w:rPr>
                <w:b/>
                <w:sz w:val="24"/>
                <w:szCs w:val="24"/>
              </w:rPr>
            </w:pPr>
            <w:r w:rsidRPr="00282C54">
              <w:rPr>
                <w:b/>
                <w:sz w:val="26"/>
                <w:szCs w:val="26"/>
              </w:rPr>
              <w:t>Σύνολο</w:t>
            </w:r>
            <w:r>
              <w:rPr>
                <w:b/>
                <w:sz w:val="26"/>
                <w:szCs w:val="26"/>
              </w:rPr>
              <w:t xml:space="preserve"> συνταξιούχων</w:t>
            </w:r>
          </w:p>
        </w:tc>
        <w:tc>
          <w:tcPr>
            <w:tcW w:w="2131" w:type="dxa"/>
            <w:tcBorders>
              <w:top w:val="double" w:sz="4" w:space="0" w:color="auto"/>
              <w:left w:val="double" w:sz="4" w:space="0" w:color="auto"/>
              <w:bottom w:val="threeDEmboss" w:sz="24" w:space="0" w:color="auto"/>
              <w:right w:val="threeDEmboss" w:sz="24" w:space="0" w:color="auto"/>
            </w:tcBorders>
            <w:shd w:val="clear" w:color="auto" w:fill="B8CCE4" w:themeFill="accent1" w:themeFillTint="66"/>
            <w:vAlign w:val="center"/>
          </w:tcPr>
          <w:p w:rsidR="00282C54" w:rsidRPr="00282C54" w:rsidRDefault="00282C54" w:rsidP="00282C54">
            <w:pPr>
              <w:jc w:val="center"/>
              <w:rPr>
                <w:b/>
                <w:sz w:val="24"/>
                <w:szCs w:val="24"/>
              </w:rPr>
            </w:pPr>
            <w:r>
              <w:rPr>
                <w:b/>
                <w:sz w:val="24"/>
                <w:szCs w:val="24"/>
              </w:rPr>
              <w:t>361.027</w:t>
            </w:r>
          </w:p>
        </w:tc>
      </w:tr>
    </w:tbl>
    <w:p w:rsidR="00E22BC9" w:rsidRDefault="00E22BC9" w:rsidP="00D7037F">
      <w:pPr>
        <w:rPr>
          <w:b/>
          <w:sz w:val="26"/>
          <w:szCs w:val="26"/>
          <w:u w:val="single"/>
        </w:rPr>
      </w:pPr>
    </w:p>
    <w:p w:rsidR="000B65E1" w:rsidRPr="00F444FC" w:rsidRDefault="000B65E1" w:rsidP="00F52082">
      <w:pPr>
        <w:pStyle w:val="a6"/>
        <w:numPr>
          <w:ilvl w:val="0"/>
          <w:numId w:val="9"/>
        </w:numPr>
        <w:ind w:left="284" w:hanging="426"/>
        <w:jc w:val="both"/>
        <w:rPr>
          <w:sz w:val="24"/>
          <w:szCs w:val="24"/>
        </w:rPr>
      </w:pPr>
      <w:r w:rsidRPr="00F444FC">
        <w:rPr>
          <w:sz w:val="24"/>
          <w:szCs w:val="24"/>
        </w:rPr>
        <w:t xml:space="preserve">Ιδιαίτερα ανησυχητική εξέλιξη συνιστά  το γεγονός πως σ’ ένα σύνολο περίπου 760.000 ασφαλισμένων στον ΟΑΕΕ μόνο οι 376.000 εξ’ αυτών δεν έχουν οφειλές και από τους υπόλοιπους μισούς (375.560) που χρωστάνε, οι 182.440 διαθέτουν ληξιπρόθεσμες οφειλές έως 15.000 ευρώ και οι υπόλοιποι 193.120 οφείλουν ποσά άνω του συγκεκριμένου ορίου.  Λαμβάνοντας υπ’ όψιν ότι οι συνταξιούχοι του Ταμείου είναι 361.000,  </w:t>
      </w:r>
      <w:r w:rsidR="003D57C8">
        <w:rPr>
          <w:sz w:val="24"/>
          <w:szCs w:val="24"/>
        </w:rPr>
        <w:t>ο λόγος εξάρτησης</w:t>
      </w:r>
      <w:r w:rsidRPr="00F444FC">
        <w:rPr>
          <w:sz w:val="24"/>
          <w:szCs w:val="24"/>
        </w:rPr>
        <w:t xml:space="preserve"> 1:2,1 (περίπου 2 εργαζόμενοι προς 1 συνταξιούχο) είναι πλασματική, από τη στιγμή που η πραγματική </w:t>
      </w:r>
      <w:r w:rsidR="00F444FC" w:rsidRPr="00F444FC">
        <w:rPr>
          <w:sz w:val="24"/>
          <w:szCs w:val="24"/>
        </w:rPr>
        <w:t>σχέση</w:t>
      </w:r>
      <w:r w:rsidRPr="00F444FC">
        <w:rPr>
          <w:sz w:val="24"/>
          <w:szCs w:val="24"/>
        </w:rPr>
        <w:t xml:space="preserve"> θα πρέπει να διαμορφώνονταν με βάση </w:t>
      </w:r>
      <w:r w:rsidR="00F444FC" w:rsidRPr="00F444FC">
        <w:rPr>
          <w:sz w:val="24"/>
          <w:szCs w:val="24"/>
        </w:rPr>
        <w:t>την αναλογία συνταξιούχων προς συνεπών ασφαλισμένων 1:1,04</w:t>
      </w:r>
      <w:r w:rsidR="00F52082">
        <w:rPr>
          <w:sz w:val="24"/>
          <w:szCs w:val="24"/>
        </w:rPr>
        <w:t xml:space="preserve"> (</w:t>
      </w:r>
      <w:r w:rsidR="00F52082" w:rsidRPr="00F444FC">
        <w:rPr>
          <w:sz w:val="24"/>
          <w:szCs w:val="24"/>
        </w:rPr>
        <w:t xml:space="preserve">περίπου </w:t>
      </w:r>
      <w:r w:rsidR="00F52082">
        <w:rPr>
          <w:sz w:val="24"/>
          <w:szCs w:val="24"/>
        </w:rPr>
        <w:t>1 εργαζόμενος</w:t>
      </w:r>
      <w:r w:rsidR="00F52082" w:rsidRPr="00F444FC">
        <w:rPr>
          <w:sz w:val="24"/>
          <w:szCs w:val="24"/>
        </w:rPr>
        <w:t xml:space="preserve"> προς 1 συνταξιούχο)</w:t>
      </w:r>
      <w:r w:rsidR="00F52082">
        <w:rPr>
          <w:sz w:val="24"/>
          <w:szCs w:val="24"/>
        </w:rPr>
        <w:t xml:space="preserve">. </w:t>
      </w:r>
      <w:r w:rsidR="00F52082" w:rsidRPr="00EF302C">
        <w:rPr>
          <w:sz w:val="24"/>
          <w:szCs w:val="24"/>
        </w:rPr>
        <w:t xml:space="preserve">Όπως είναι εύλογο, </w:t>
      </w:r>
      <w:r w:rsidR="003D57C8" w:rsidRPr="00EF302C">
        <w:rPr>
          <w:sz w:val="24"/>
          <w:szCs w:val="24"/>
        </w:rPr>
        <w:t>ο πραγματικός λόγος εξάρτησης</w:t>
      </w:r>
      <w:r w:rsidR="00F52082" w:rsidRPr="00EF302C">
        <w:rPr>
          <w:sz w:val="24"/>
          <w:szCs w:val="24"/>
        </w:rPr>
        <w:t xml:space="preserve"> που μόλις περιγράφηκε</w:t>
      </w:r>
      <w:r w:rsidR="00F52082">
        <w:rPr>
          <w:sz w:val="24"/>
          <w:szCs w:val="24"/>
        </w:rPr>
        <w:t xml:space="preserve"> </w:t>
      </w:r>
      <w:r w:rsidR="003D57C8">
        <w:rPr>
          <w:sz w:val="24"/>
          <w:szCs w:val="24"/>
        </w:rPr>
        <w:lastRenderedPageBreak/>
        <w:t xml:space="preserve">αναδεικνύει το πρόβλημα επιβίωσης που αντιμετωπίζει ο </w:t>
      </w:r>
      <w:r w:rsidR="00F52082">
        <w:rPr>
          <w:sz w:val="24"/>
          <w:szCs w:val="24"/>
        </w:rPr>
        <w:t xml:space="preserve"> </w:t>
      </w:r>
      <w:r w:rsidR="003D57C8">
        <w:rPr>
          <w:sz w:val="24"/>
          <w:szCs w:val="24"/>
        </w:rPr>
        <w:t>βασικός</w:t>
      </w:r>
      <w:r w:rsidR="00F52082">
        <w:rPr>
          <w:sz w:val="24"/>
          <w:szCs w:val="24"/>
        </w:rPr>
        <w:t xml:space="preserve"> </w:t>
      </w:r>
      <w:r w:rsidR="003D57C8">
        <w:rPr>
          <w:sz w:val="24"/>
          <w:szCs w:val="24"/>
        </w:rPr>
        <w:t>φορέας</w:t>
      </w:r>
      <w:r w:rsidR="00F52082">
        <w:rPr>
          <w:sz w:val="24"/>
          <w:szCs w:val="24"/>
        </w:rPr>
        <w:t xml:space="preserve"> </w:t>
      </w:r>
      <w:r w:rsidR="003D57C8">
        <w:rPr>
          <w:sz w:val="24"/>
          <w:szCs w:val="24"/>
        </w:rPr>
        <w:t xml:space="preserve">ασφάλισης </w:t>
      </w:r>
      <w:r w:rsidR="00F52082">
        <w:rPr>
          <w:sz w:val="24"/>
          <w:szCs w:val="24"/>
        </w:rPr>
        <w:t>των εμπόρων</w:t>
      </w:r>
      <w:r w:rsidR="003D57C8">
        <w:rPr>
          <w:sz w:val="24"/>
          <w:szCs w:val="24"/>
        </w:rPr>
        <w:t xml:space="preserve">, από τη στιγμή που σε κανένα σύστημα κοινωνικής ασφάλισης μία τέτοια σχέση δεν είναι βιώσιμη ούτε σε αναλογιστική ούτε σε ταμειακή βάση. </w:t>
      </w:r>
    </w:p>
    <w:p w:rsidR="00867681" w:rsidRPr="007B0F77" w:rsidRDefault="00E60082" w:rsidP="00867681">
      <w:pPr>
        <w:rPr>
          <w:b/>
          <w:sz w:val="26"/>
          <w:szCs w:val="26"/>
          <w:u w:val="single"/>
        </w:rPr>
      </w:pPr>
      <w:r>
        <w:rPr>
          <w:b/>
          <w:sz w:val="30"/>
          <w:szCs w:val="30"/>
          <w:u w:val="single"/>
        </w:rPr>
        <w:t>Ε</w:t>
      </w:r>
      <w:r w:rsidR="00867681" w:rsidRPr="00E06D88">
        <w:rPr>
          <w:b/>
          <w:sz w:val="30"/>
          <w:szCs w:val="30"/>
          <w:u w:val="single"/>
        </w:rPr>
        <w:t>.</w:t>
      </w:r>
      <w:r w:rsidR="00867681" w:rsidRPr="00E06D88">
        <w:rPr>
          <w:sz w:val="30"/>
          <w:szCs w:val="30"/>
          <w:u w:val="single"/>
        </w:rPr>
        <w:t xml:space="preserve"> </w:t>
      </w:r>
      <w:r w:rsidR="00867681" w:rsidRPr="00E06D88">
        <w:rPr>
          <w:b/>
          <w:sz w:val="26"/>
          <w:szCs w:val="26"/>
          <w:u w:val="single"/>
        </w:rPr>
        <w:t>Πάγια ρύθμιση &amp; Ενιαία Αρχή:</w:t>
      </w:r>
    </w:p>
    <w:p w:rsidR="00BD0B25" w:rsidRPr="00E06D88" w:rsidRDefault="00BD0B25" w:rsidP="00BD0B25">
      <w:pPr>
        <w:spacing w:after="0"/>
        <w:rPr>
          <w:b/>
          <w:i/>
          <w:sz w:val="24"/>
          <w:szCs w:val="24"/>
        </w:rPr>
      </w:pPr>
      <w:r w:rsidRPr="00E06D88">
        <w:rPr>
          <w:b/>
          <w:i/>
          <w:sz w:val="24"/>
          <w:szCs w:val="24"/>
        </w:rPr>
        <w:t xml:space="preserve">Στοιχεία ρυθμίσεων του Ν. 4152/2013 στον ΟΑΕΕ –  έως </w:t>
      </w:r>
      <w:r w:rsidR="00153458">
        <w:rPr>
          <w:b/>
          <w:i/>
          <w:sz w:val="24"/>
          <w:szCs w:val="24"/>
        </w:rPr>
        <w:t>12</w:t>
      </w:r>
      <w:r w:rsidRPr="00E06D88">
        <w:rPr>
          <w:b/>
          <w:i/>
          <w:sz w:val="24"/>
          <w:szCs w:val="24"/>
        </w:rPr>
        <w:t>/</w:t>
      </w:r>
      <w:r w:rsidR="00153458">
        <w:rPr>
          <w:b/>
          <w:i/>
          <w:sz w:val="24"/>
          <w:szCs w:val="24"/>
        </w:rPr>
        <w:t>12</w:t>
      </w:r>
      <w:r w:rsidRPr="00E06D88">
        <w:rPr>
          <w:b/>
          <w:i/>
          <w:sz w:val="24"/>
          <w:szCs w:val="24"/>
        </w:rPr>
        <w:t>/2014</w:t>
      </w:r>
    </w:p>
    <w:p w:rsidR="00BD0B25" w:rsidRDefault="00BD0B25" w:rsidP="00BD0B25">
      <w:pPr>
        <w:spacing w:after="0"/>
      </w:pPr>
    </w:p>
    <w:p w:rsidR="00BD0B25" w:rsidRPr="00E06D88" w:rsidRDefault="00BD0B25" w:rsidP="00BD0B25">
      <w:pPr>
        <w:pStyle w:val="a6"/>
        <w:numPr>
          <w:ilvl w:val="0"/>
          <w:numId w:val="1"/>
        </w:numPr>
        <w:spacing w:line="300" w:lineRule="exact"/>
        <w:ind w:left="283" w:hanging="283"/>
        <w:contextualSpacing w:val="0"/>
        <w:jc w:val="both"/>
        <w:rPr>
          <w:sz w:val="24"/>
          <w:szCs w:val="24"/>
        </w:rPr>
      </w:pPr>
      <w:r w:rsidRPr="00E06D88">
        <w:rPr>
          <w:sz w:val="24"/>
          <w:szCs w:val="24"/>
        </w:rPr>
        <w:t xml:space="preserve">Το </w:t>
      </w:r>
      <w:r w:rsidR="00E06D88" w:rsidRPr="00E06D88">
        <w:rPr>
          <w:b/>
          <w:sz w:val="24"/>
          <w:szCs w:val="24"/>
        </w:rPr>
        <w:t>65</w:t>
      </w:r>
      <w:r w:rsidRPr="00E06D88">
        <w:rPr>
          <w:b/>
          <w:sz w:val="24"/>
          <w:szCs w:val="24"/>
        </w:rPr>
        <w:t>,</w:t>
      </w:r>
      <w:r w:rsidR="00E06D88" w:rsidRPr="00E06D88">
        <w:rPr>
          <w:b/>
          <w:sz w:val="24"/>
          <w:szCs w:val="24"/>
        </w:rPr>
        <w:t>8</w:t>
      </w:r>
      <w:r w:rsidRPr="00E06D88">
        <w:rPr>
          <w:b/>
          <w:sz w:val="24"/>
          <w:szCs w:val="24"/>
        </w:rPr>
        <w:t>%</w:t>
      </w:r>
      <w:r w:rsidRPr="00E06D88">
        <w:rPr>
          <w:sz w:val="24"/>
          <w:szCs w:val="24"/>
        </w:rPr>
        <w:t xml:space="preserve"> των οφειλετών του ΟΑΕΕ, που αποφάσισαν να ρυθμίσουν σε 12 δόσεις τις «φρέσκες» οφειλές </w:t>
      </w:r>
      <w:r w:rsidR="0006531B">
        <w:rPr>
          <w:sz w:val="24"/>
          <w:szCs w:val="24"/>
        </w:rPr>
        <w:t>τους («πάγια ρύθμιση»)</w:t>
      </w:r>
      <w:r w:rsidRPr="00E06D88">
        <w:rPr>
          <w:sz w:val="24"/>
          <w:szCs w:val="24"/>
        </w:rPr>
        <w:t>, σταμάτησε να πληρώνει και τέθηκε εκτός ρύθμισης.</w:t>
      </w:r>
    </w:p>
    <w:p w:rsidR="00BD0B25" w:rsidRPr="00E06D88" w:rsidRDefault="00BD0B25" w:rsidP="005C54A1">
      <w:pPr>
        <w:pStyle w:val="a6"/>
        <w:numPr>
          <w:ilvl w:val="0"/>
          <w:numId w:val="1"/>
        </w:numPr>
        <w:spacing w:line="300" w:lineRule="exact"/>
        <w:ind w:left="284" w:hanging="284"/>
        <w:contextualSpacing w:val="0"/>
        <w:jc w:val="both"/>
        <w:rPr>
          <w:sz w:val="24"/>
          <w:szCs w:val="24"/>
        </w:rPr>
      </w:pPr>
      <w:r w:rsidRPr="00E06D88">
        <w:rPr>
          <w:sz w:val="24"/>
          <w:szCs w:val="24"/>
        </w:rPr>
        <w:t xml:space="preserve">Σύμφωνα με στοιχεία του ΟΑΕΕ, έως και τις 12 Δεκεμβρίου 2014, </w:t>
      </w:r>
      <w:r w:rsidRPr="00E06D88">
        <w:rPr>
          <w:b/>
          <w:sz w:val="24"/>
          <w:szCs w:val="24"/>
        </w:rPr>
        <w:t>48.652</w:t>
      </w:r>
      <w:r w:rsidRPr="00E06D88">
        <w:rPr>
          <w:sz w:val="24"/>
          <w:szCs w:val="24"/>
        </w:rPr>
        <w:t xml:space="preserve"> οφειλέτες μπήκαν στην </w:t>
      </w:r>
      <w:r w:rsidRPr="00E06D88">
        <w:rPr>
          <w:b/>
          <w:sz w:val="24"/>
          <w:szCs w:val="24"/>
        </w:rPr>
        <w:t>«πάγια» ρύθμιση</w:t>
      </w:r>
      <w:r w:rsidRPr="00E06D88">
        <w:rPr>
          <w:sz w:val="24"/>
          <w:szCs w:val="24"/>
        </w:rPr>
        <w:t xml:space="preserve"> για </w:t>
      </w:r>
      <w:r w:rsidRPr="00E06D88">
        <w:rPr>
          <w:b/>
          <w:sz w:val="24"/>
          <w:szCs w:val="24"/>
        </w:rPr>
        <w:t>195,8</w:t>
      </w:r>
      <w:r w:rsidRPr="00E06D88">
        <w:rPr>
          <w:sz w:val="24"/>
          <w:szCs w:val="24"/>
        </w:rPr>
        <w:t xml:space="preserve"> εκ. ευρώ, αλλά στην πορεία οι </w:t>
      </w:r>
      <w:r w:rsidRPr="00E06D88">
        <w:rPr>
          <w:b/>
          <w:sz w:val="24"/>
          <w:szCs w:val="24"/>
        </w:rPr>
        <w:t>32.032</w:t>
      </w:r>
      <w:r w:rsidRPr="00E06D88">
        <w:rPr>
          <w:sz w:val="24"/>
          <w:szCs w:val="24"/>
        </w:rPr>
        <w:t xml:space="preserve"> από αυτούς (ποσοστό </w:t>
      </w:r>
      <w:r w:rsidRPr="00E06D88">
        <w:rPr>
          <w:b/>
          <w:sz w:val="24"/>
          <w:szCs w:val="24"/>
        </w:rPr>
        <w:t>65,8%)</w:t>
      </w:r>
      <w:r w:rsidRPr="00E06D88">
        <w:rPr>
          <w:sz w:val="24"/>
          <w:szCs w:val="24"/>
        </w:rPr>
        <w:t xml:space="preserve"> «έχασαν» τη ρύθμιση, με αποτέλεσμα οφειλές ύψους </w:t>
      </w:r>
      <w:r w:rsidRPr="00E06D88">
        <w:rPr>
          <w:b/>
          <w:sz w:val="24"/>
          <w:szCs w:val="24"/>
        </w:rPr>
        <w:t>143,6</w:t>
      </w:r>
      <w:r w:rsidRPr="00E06D88">
        <w:rPr>
          <w:sz w:val="24"/>
          <w:szCs w:val="24"/>
        </w:rPr>
        <w:t xml:space="preserve"> εκ. ευρώ να μείνουν στον αέρα και μόνο </w:t>
      </w:r>
      <w:r w:rsidRPr="00E06D88">
        <w:rPr>
          <w:b/>
          <w:sz w:val="24"/>
          <w:szCs w:val="24"/>
        </w:rPr>
        <w:t>16.620</w:t>
      </w:r>
      <w:r w:rsidRPr="00E06D88">
        <w:rPr>
          <w:sz w:val="24"/>
          <w:szCs w:val="24"/>
        </w:rPr>
        <w:t xml:space="preserve"> εξακολουθούν να πληρώνουν δόσεις έναντι ρυθμισμένων οφειλών </w:t>
      </w:r>
      <w:r w:rsidRPr="00E06D88">
        <w:rPr>
          <w:b/>
          <w:sz w:val="24"/>
          <w:szCs w:val="24"/>
        </w:rPr>
        <w:t>52,2</w:t>
      </w:r>
      <w:r w:rsidRPr="00E06D88">
        <w:rPr>
          <w:sz w:val="24"/>
          <w:szCs w:val="24"/>
        </w:rPr>
        <w:t xml:space="preserve"> εκ. ευρώ.</w:t>
      </w:r>
    </w:p>
    <w:p w:rsidR="00BD0B25" w:rsidRDefault="00BD0B25" w:rsidP="00BD0B25">
      <w:pPr>
        <w:pStyle w:val="a6"/>
        <w:numPr>
          <w:ilvl w:val="0"/>
          <w:numId w:val="1"/>
        </w:numPr>
        <w:spacing w:line="300" w:lineRule="exact"/>
        <w:ind w:left="283" w:hanging="283"/>
        <w:contextualSpacing w:val="0"/>
        <w:jc w:val="both"/>
        <w:rPr>
          <w:sz w:val="24"/>
          <w:szCs w:val="24"/>
        </w:rPr>
      </w:pPr>
      <w:r w:rsidRPr="00E06D88">
        <w:rPr>
          <w:sz w:val="24"/>
          <w:szCs w:val="24"/>
        </w:rPr>
        <w:t xml:space="preserve">«Εκτός ρύθμισης» έχει μείνει, τέλος, και το </w:t>
      </w:r>
      <w:r w:rsidR="00E06D88" w:rsidRPr="00E06D88">
        <w:rPr>
          <w:b/>
          <w:sz w:val="24"/>
          <w:szCs w:val="24"/>
        </w:rPr>
        <w:t>51</w:t>
      </w:r>
      <w:r w:rsidRPr="00E06D88">
        <w:rPr>
          <w:b/>
          <w:sz w:val="24"/>
          <w:szCs w:val="24"/>
        </w:rPr>
        <w:t>,</w:t>
      </w:r>
      <w:r w:rsidR="00E06D88" w:rsidRPr="00E06D88">
        <w:rPr>
          <w:b/>
          <w:sz w:val="24"/>
          <w:szCs w:val="24"/>
        </w:rPr>
        <w:t>8</w:t>
      </w:r>
      <w:r w:rsidRPr="00E06D88">
        <w:rPr>
          <w:b/>
          <w:sz w:val="24"/>
          <w:szCs w:val="24"/>
        </w:rPr>
        <w:t xml:space="preserve">% </w:t>
      </w:r>
      <w:r w:rsidRPr="00E06D88">
        <w:rPr>
          <w:sz w:val="24"/>
          <w:szCs w:val="24"/>
        </w:rPr>
        <w:t>των οφειλετών (</w:t>
      </w:r>
      <w:r w:rsidRPr="00E06D88">
        <w:rPr>
          <w:b/>
          <w:sz w:val="24"/>
          <w:szCs w:val="24"/>
        </w:rPr>
        <w:t>2</w:t>
      </w:r>
      <w:r w:rsidR="00E06D88" w:rsidRPr="00E06D88">
        <w:rPr>
          <w:b/>
          <w:sz w:val="24"/>
          <w:szCs w:val="24"/>
        </w:rPr>
        <w:t>2</w:t>
      </w:r>
      <w:r w:rsidRPr="00E06D88">
        <w:rPr>
          <w:b/>
          <w:sz w:val="24"/>
          <w:szCs w:val="24"/>
        </w:rPr>
        <w:t>.</w:t>
      </w:r>
      <w:r w:rsidR="00E06D88" w:rsidRPr="00E06D88">
        <w:rPr>
          <w:b/>
          <w:sz w:val="24"/>
          <w:szCs w:val="24"/>
        </w:rPr>
        <w:t>241</w:t>
      </w:r>
      <w:r w:rsidRPr="00E06D88">
        <w:rPr>
          <w:b/>
          <w:sz w:val="24"/>
          <w:szCs w:val="24"/>
        </w:rPr>
        <w:t xml:space="preserve"> </w:t>
      </w:r>
      <w:r w:rsidRPr="00E06D88">
        <w:rPr>
          <w:sz w:val="24"/>
          <w:szCs w:val="24"/>
        </w:rPr>
        <w:t>σε σύνολο</w:t>
      </w:r>
      <w:r w:rsidRPr="00E06D88">
        <w:rPr>
          <w:b/>
          <w:sz w:val="24"/>
          <w:szCs w:val="24"/>
        </w:rPr>
        <w:t xml:space="preserve"> 4</w:t>
      </w:r>
      <w:r w:rsidR="00E06D88" w:rsidRPr="00E06D88">
        <w:rPr>
          <w:b/>
          <w:sz w:val="24"/>
          <w:szCs w:val="24"/>
        </w:rPr>
        <w:t>2</w:t>
      </w:r>
      <w:r w:rsidRPr="00E06D88">
        <w:rPr>
          <w:b/>
          <w:sz w:val="24"/>
          <w:szCs w:val="24"/>
        </w:rPr>
        <w:t>.</w:t>
      </w:r>
      <w:r w:rsidR="00E06D88" w:rsidRPr="00E06D88">
        <w:rPr>
          <w:b/>
          <w:sz w:val="24"/>
          <w:szCs w:val="24"/>
        </w:rPr>
        <w:t>912</w:t>
      </w:r>
      <w:r w:rsidRPr="00E06D88">
        <w:rPr>
          <w:b/>
          <w:sz w:val="24"/>
          <w:szCs w:val="24"/>
        </w:rPr>
        <w:t>)</w:t>
      </w:r>
      <w:r w:rsidRPr="00E06D88">
        <w:rPr>
          <w:sz w:val="24"/>
          <w:szCs w:val="24"/>
        </w:rPr>
        <w:t xml:space="preserve"> που είχαν μπει στη ρύθμιση σε 48 δόσεις (Ρύθμιση «Νέα Αρχή»).</w:t>
      </w:r>
    </w:p>
    <w:p w:rsidR="00F9694D" w:rsidRPr="005C54A1" w:rsidRDefault="00F9694D" w:rsidP="00F9694D">
      <w:pPr>
        <w:spacing w:line="300" w:lineRule="exact"/>
        <w:jc w:val="both"/>
        <w:rPr>
          <w:sz w:val="24"/>
          <w:szCs w:val="24"/>
        </w:rPr>
      </w:pPr>
    </w:p>
    <w:tbl>
      <w:tblPr>
        <w:tblStyle w:val="a3"/>
        <w:tblW w:w="9498" w:type="dxa"/>
        <w:tblInd w:w="-459" w:type="dxa"/>
        <w:tblLayout w:type="fixed"/>
        <w:tblLook w:val="04A0"/>
      </w:tblPr>
      <w:tblGrid>
        <w:gridCol w:w="2127"/>
        <w:gridCol w:w="1844"/>
        <w:gridCol w:w="1842"/>
        <w:gridCol w:w="1843"/>
        <w:gridCol w:w="1842"/>
      </w:tblGrid>
      <w:tr w:rsidR="00867681" w:rsidTr="00BD0B25">
        <w:trPr>
          <w:trHeight w:hRule="exact" w:val="898"/>
        </w:trPr>
        <w:tc>
          <w:tcPr>
            <w:tcW w:w="9498" w:type="dxa"/>
            <w:gridSpan w:val="5"/>
            <w:tcBorders>
              <w:top w:val="threeDEngrave" w:sz="24" w:space="0" w:color="auto"/>
              <w:left w:val="threeDEngrave" w:sz="24" w:space="0" w:color="auto"/>
              <w:bottom w:val="threeDEngrave" w:sz="24" w:space="0" w:color="auto"/>
              <w:right w:val="threeDEngrave" w:sz="24" w:space="0" w:color="auto"/>
            </w:tcBorders>
            <w:shd w:val="clear" w:color="auto" w:fill="BFBFBF" w:themeFill="background1" w:themeFillShade="BF"/>
            <w:vAlign w:val="center"/>
          </w:tcPr>
          <w:p w:rsidR="00867681" w:rsidRPr="000D5EC8" w:rsidRDefault="00867681" w:rsidP="00157B5C">
            <w:pPr>
              <w:jc w:val="center"/>
              <w:rPr>
                <w:sz w:val="24"/>
                <w:szCs w:val="24"/>
              </w:rPr>
            </w:pPr>
            <w:r w:rsidRPr="00BD0B25">
              <w:rPr>
                <w:b/>
                <w:i/>
                <w:sz w:val="26"/>
                <w:szCs w:val="26"/>
              </w:rPr>
              <w:t xml:space="preserve">Πίνακας </w:t>
            </w:r>
            <w:r w:rsidR="00157B5C">
              <w:rPr>
                <w:b/>
                <w:i/>
                <w:sz w:val="26"/>
                <w:szCs w:val="26"/>
              </w:rPr>
              <w:t>5</w:t>
            </w:r>
            <w:r w:rsidRPr="00BD0B25">
              <w:rPr>
                <w:b/>
                <w:i/>
                <w:sz w:val="26"/>
                <w:szCs w:val="26"/>
              </w:rPr>
              <w:t>:</w:t>
            </w:r>
            <w:r>
              <w:t xml:space="preserve"> </w:t>
            </w:r>
            <w:r w:rsidRPr="0025228E">
              <w:rPr>
                <w:sz w:val="24"/>
                <w:szCs w:val="24"/>
              </w:rPr>
              <w:t>Στατιστικά στοιχεία ρυθμίσεων του Ν. 4152/2013</w:t>
            </w:r>
            <w:r>
              <w:rPr>
                <w:sz w:val="24"/>
                <w:szCs w:val="24"/>
              </w:rPr>
              <w:t xml:space="preserve"> στον </w:t>
            </w:r>
            <w:r w:rsidRPr="00130BA9">
              <w:rPr>
                <w:b/>
                <w:sz w:val="24"/>
                <w:szCs w:val="24"/>
              </w:rPr>
              <w:t>ΟΑΕΕ</w:t>
            </w:r>
            <w:r>
              <w:rPr>
                <w:b/>
                <w:sz w:val="24"/>
                <w:szCs w:val="24"/>
              </w:rPr>
              <w:t xml:space="preserve">, </w:t>
            </w:r>
            <w:r w:rsidRPr="000D5EC8">
              <w:rPr>
                <w:sz w:val="24"/>
                <w:szCs w:val="24"/>
              </w:rPr>
              <w:t xml:space="preserve">από την έναρξη ισχύος </w:t>
            </w:r>
            <w:r>
              <w:rPr>
                <w:sz w:val="24"/>
                <w:szCs w:val="24"/>
              </w:rPr>
              <w:t xml:space="preserve">της </w:t>
            </w:r>
            <w:r w:rsidRPr="000D5EC8">
              <w:rPr>
                <w:sz w:val="24"/>
                <w:szCs w:val="24"/>
              </w:rPr>
              <w:t>έως και τις</w:t>
            </w:r>
            <w:r>
              <w:rPr>
                <w:b/>
                <w:sz w:val="24"/>
                <w:szCs w:val="24"/>
              </w:rPr>
              <w:t xml:space="preserve"> </w:t>
            </w:r>
            <w:r w:rsidR="00BD0B25" w:rsidRPr="00BD0B25">
              <w:rPr>
                <w:b/>
                <w:sz w:val="24"/>
                <w:szCs w:val="24"/>
              </w:rPr>
              <w:t>12</w:t>
            </w:r>
            <w:r>
              <w:rPr>
                <w:b/>
                <w:sz w:val="24"/>
                <w:szCs w:val="24"/>
              </w:rPr>
              <w:t>/</w:t>
            </w:r>
            <w:r w:rsidR="00BD0B25" w:rsidRPr="00BD0B25">
              <w:rPr>
                <w:b/>
                <w:sz w:val="24"/>
                <w:szCs w:val="24"/>
              </w:rPr>
              <w:t>12</w:t>
            </w:r>
            <w:r>
              <w:rPr>
                <w:b/>
                <w:sz w:val="24"/>
                <w:szCs w:val="24"/>
              </w:rPr>
              <w:t>/2014</w:t>
            </w:r>
            <w:r>
              <w:rPr>
                <w:sz w:val="24"/>
                <w:szCs w:val="24"/>
              </w:rPr>
              <w:t xml:space="preserve"> </w:t>
            </w:r>
            <w:r>
              <w:t xml:space="preserve"> </w:t>
            </w:r>
            <w:r w:rsidRPr="0025228E">
              <w:rPr>
                <w:i/>
                <w:sz w:val="21"/>
                <w:szCs w:val="21"/>
              </w:rPr>
              <w:t xml:space="preserve">(ποσά σε </w:t>
            </w:r>
            <w:r w:rsidRPr="0025228E">
              <w:rPr>
                <w:rFonts w:cstheme="minorHAnsi"/>
                <w:i/>
                <w:sz w:val="21"/>
                <w:szCs w:val="21"/>
              </w:rPr>
              <w:t>€</w:t>
            </w:r>
            <w:r w:rsidRPr="0025228E">
              <w:rPr>
                <w:i/>
                <w:sz w:val="21"/>
                <w:szCs w:val="21"/>
              </w:rPr>
              <w:t>)</w:t>
            </w:r>
          </w:p>
        </w:tc>
      </w:tr>
      <w:tr w:rsidR="00867681" w:rsidTr="00BD0B25">
        <w:trPr>
          <w:trHeight w:hRule="exact" w:val="915"/>
        </w:trPr>
        <w:tc>
          <w:tcPr>
            <w:tcW w:w="2127" w:type="dxa"/>
            <w:tcBorders>
              <w:top w:val="threeDEngrave" w:sz="24" w:space="0" w:color="auto"/>
              <w:left w:val="threeDEngrave" w:sz="24" w:space="0" w:color="auto"/>
              <w:bottom w:val="threeDEngrave" w:sz="24" w:space="0" w:color="auto"/>
              <w:right w:val="threeDEngrave" w:sz="24" w:space="0" w:color="auto"/>
            </w:tcBorders>
            <w:shd w:val="clear" w:color="auto" w:fill="92D050"/>
            <w:vAlign w:val="center"/>
          </w:tcPr>
          <w:p w:rsidR="00867681" w:rsidRPr="000D5EC8" w:rsidRDefault="00867681" w:rsidP="00282C54">
            <w:r>
              <w:rPr>
                <w:rFonts w:ascii="Calibri" w:hAnsi="Calibri" w:cs="Calibri"/>
                <w:b/>
                <w:bCs/>
                <w:color w:val="000000"/>
              </w:rPr>
              <w:t>Ρύθμιση: «</w:t>
            </w:r>
            <w:r w:rsidRPr="00CD6BB0">
              <w:rPr>
                <w:rFonts w:ascii="Calibri" w:hAnsi="Calibri" w:cs="Calibri"/>
                <w:b/>
                <w:bCs/>
                <w:color w:val="000000"/>
                <w:lang w:val="en-US"/>
              </w:rPr>
              <w:t>Νέα</w:t>
            </w:r>
            <w:r>
              <w:rPr>
                <w:rFonts w:ascii="Calibri" w:hAnsi="Calibri" w:cs="Calibri"/>
                <w:b/>
                <w:bCs/>
                <w:color w:val="000000"/>
              </w:rPr>
              <w:t xml:space="preserve"> </w:t>
            </w:r>
            <w:r w:rsidRPr="00CD6BB0">
              <w:rPr>
                <w:rFonts w:ascii="Calibri" w:hAnsi="Calibri" w:cs="Calibri"/>
                <w:b/>
                <w:bCs/>
                <w:color w:val="000000"/>
                <w:lang w:val="en-US"/>
              </w:rPr>
              <w:t>Αρχή</w:t>
            </w:r>
            <w:r>
              <w:rPr>
                <w:rFonts w:ascii="Calibri" w:hAnsi="Calibri" w:cs="Calibri"/>
                <w:b/>
                <w:bCs/>
                <w:color w:val="000000"/>
              </w:rPr>
              <w:t>»</w:t>
            </w:r>
          </w:p>
        </w:tc>
        <w:tc>
          <w:tcPr>
            <w:tcW w:w="1844" w:type="dxa"/>
            <w:tcBorders>
              <w:top w:val="threeDEngrave" w:sz="24" w:space="0" w:color="auto"/>
              <w:left w:val="threeDEngrave" w:sz="24" w:space="0" w:color="auto"/>
              <w:bottom w:val="threeDEngrave" w:sz="24" w:space="0" w:color="auto"/>
              <w:right w:val="threeDEngrave" w:sz="24" w:space="0" w:color="auto"/>
            </w:tcBorders>
            <w:shd w:val="clear" w:color="auto" w:fill="BFBFBF" w:themeFill="background1" w:themeFillShade="BF"/>
            <w:vAlign w:val="center"/>
          </w:tcPr>
          <w:p w:rsidR="00867681" w:rsidRPr="007A032E" w:rsidRDefault="00867681" w:rsidP="00282C54">
            <w:pPr>
              <w:jc w:val="center"/>
              <w:rPr>
                <w:b/>
                <w:sz w:val="24"/>
                <w:szCs w:val="24"/>
                <w:lang w:val="en-US"/>
              </w:rPr>
            </w:pPr>
            <w:r>
              <w:rPr>
                <w:b/>
                <w:sz w:val="24"/>
                <w:szCs w:val="24"/>
              </w:rPr>
              <w:t>21</w:t>
            </w:r>
            <w:r>
              <w:rPr>
                <w:b/>
                <w:sz w:val="24"/>
                <w:szCs w:val="24"/>
                <w:lang w:val="en-US"/>
              </w:rPr>
              <w:t>/1</w:t>
            </w:r>
            <w:r>
              <w:rPr>
                <w:b/>
                <w:sz w:val="24"/>
                <w:szCs w:val="24"/>
              </w:rPr>
              <w:t>1</w:t>
            </w:r>
            <w:r>
              <w:rPr>
                <w:b/>
                <w:sz w:val="24"/>
                <w:szCs w:val="24"/>
                <w:lang w:val="en-US"/>
              </w:rPr>
              <w:t>/2014</w:t>
            </w:r>
          </w:p>
        </w:tc>
        <w:tc>
          <w:tcPr>
            <w:tcW w:w="1842" w:type="dxa"/>
            <w:tcBorders>
              <w:top w:val="threeDEngrave" w:sz="24" w:space="0" w:color="auto"/>
              <w:left w:val="threeDEngrave" w:sz="24" w:space="0" w:color="auto"/>
              <w:bottom w:val="threeDEngrave" w:sz="24" w:space="0" w:color="auto"/>
              <w:right w:val="threeDEngrave" w:sz="24" w:space="0" w:color="auto"/>
            </w:tcBorders>
            <w:shd w:val="clear" w:color="auto" w:fill="BFBFBF" w:themeFill="background1" w:themeFillShade="BF"/>
            <w:vAlign w:val="center"/>
          </w:tcPr>
          <w:p w:rsidR="00867681" w:rsidRPr="006D2F48" w:rsidRDefault="00867681" w:rsidP="00282C54">
            <w:pPr>
              <w:jc w:val="center"/>
              <w:rPr>
                <w:b/>
                <w:sz w:val="24"/>
                <w:szCs w:val="24"/>
                <w:lang w:val="en-US"/>
              </w:rPr>
            </w:pPr>
            <w:r>
              <w:rPr>
                <w:b/>
                <w:sz w:val="24"/>
                <w:szCs w:val="24"/>
              </w:rPr>
              <w:t>28</w:t>
            </w:r>
            <w:r w:rsidRPr="006D2F48">
              <w:rPr>
                <w:b/>
                <w:sz w:val="24"/>
                <w:szCs w:val="24"/>
                <w:lang w:val="en-US"/>
              </w:rPr>
              <w:t>/1</w:t>
            </w:r>
            <w:r>
              <w:rPr>
                <w:b/>
                <w:sz w:val="24"/>
                <w:szCs w:val="24"/>
              </w:rPr>
              <w:t>1</w:t>
            </w:r>
            <w:r w:rsidRPr="006D2F48">
              <w:rPr>
                <w:b/>
                <w:sz w:val="24"/>
                <w:szCs w:val="24"/>
                <w:lang w:val="en-US"/>
              </w:rPr>
              <w:t>/2014</w:t>
            </w:r>
          </w:p>
        </w:tc>
        <w:tc>
          <w:tcPr>
            <w:tcW w:w="1843" w:type="dxa"/>
            <w:tcBorders>
              <w:top w:val="threeDEngrave" w:sz="24" w:space="0" w:color="auto"/>
              <w:left w:val="threeDEngrave" w:sz="24" w:space="0" w:color="auto"/>
              <w:bottom w:val="threeDEngrave" w:sz="24" w:space="0" w:color="auto"/>
              <w:right w:val="threeDEngrave" w:sz="24" w:space="0" w:color="auto"/>
            </w:tcBorders>
            <w:shd w:val="clear" w:color="auto" w:fill="BFBFBF" w:themeFill="background1" w:themeFillShade="BF"/>
            <w:vAlign w:val="center"/>
          </w:tcPr>
          <w:p w:rsidR="00867681" w:rsidRPr="006D2F48" w:rsidRDefault="00867681" w:rsidP="00282C54">
            <w:pPr>
              <w:jc w:val="center"/>
              <w:rPr>
                <w:b/>
                <w:sz w:val="24"/>
                <w:szCs w:val="24"/>
                <w:lang w:val="en-US"/>
              </w:rPr>
            </w:pPr>
            <w:r>
              <w:rPr>
                <w:b/>
                <w:sz w:val="24"/>
                <w:szCs w:val="24"/>
              </w:rPr>
              <w:t>05</w:t>
            </w:r>
            <w:r w:rsidRPr="006D2F48">
              <w:rPr>
                <w:b/>
                <w:sz w:val="24"/>
                <w:szCs w:val="24"/>
                <w:lang w:val="en-US"/>
              </w:rPr>
              <w:t>/</w:t>
            </w:r>
            <w:r>
              <w:rPr>
                <w:b/>
                <w:sz w:val="24"/>
                <w:szCs w:val="24"/>
              </w:rPr>
              <w:t>12</w:t>
            </w:r>
            <w:r w:rsidRPr="006D2F48">
              <w:rPr>
                <w:b/>
                <w:sz w:val="24"/>
                <w:szCs w:val="24"/>
                <w:lang w:val="en-US"/>
              </w:rPr>
              <w:t>/2014</w:t>
            </w:r>
          </w:p>
        </w:tc>
        <w:tc>
          <w:tcPr>
            <w:tcW w:w="1842" w:type="dxa"/>
            <w:tcBorders>
              <w:top w:val="threeDEngrave" w:sz="24" w:space="0" w:color="auto"/>
              <w:left w:val="threeDEngrave" w:sz="24" w:space="0" w:color="auto"/>
              <w:bottom w:val="threeDEngrave" w:sz="24" w:space="0" w:color="auto"/>
              <w:right w:val="threeDEngrave" w:sz="24" w:space="0" w:color="auto"/>
            </w:tcBorders>
            <w:shd w:val="clear" w:color="auto" w:fill="BFBFBF" w:themeFill="background1" w:themeFillShade="BF"/>
            <w:vAlign w:val="center"/>
          </w:tcPr>
          <w:p w:rsidR="00867681" w:rsidRPr="006D2F48" w:rsidRDefault="00867681" w:rsidP="00282C54">
            <w:pPr>
              <w:jc w:val="center"/>
              <w:rPr>
                <w:b/>
                <w:sz w:val="24"/>
                <w:szCs w:val="24"/>
                <w:lang w:val="en-US"/>
              </w:rPr>
            </w:pPr>
            <w:r>
              <w:rPr>
                <w:b/>
                <w:sz w:val="24"/>
                <w:szCs w:val="24"/>
              </w:rPr>
              <w:t>12</w:t>
            </w:r>
            <w:r>
              <w:rPr>
                <w:b/>
                <w:sz w:val="24"/>
                <w:szCs w:val="24"/>
                <w:lang w:val="en-US"/>
              </w:rPr>
              <w:t>/1</w:t>
            </w:r>
            <w:r>
              <w:rPr>
                <w:b/>
                <w:sz w:val="24"/>
                <w:szCs w:val="24"/>
              </w:rPr>
              <w:t>2</w:t>
            </w:r>
            <w:r>
              <w:rPr>
                <w:b/>
                <w:sz w:val="24"/>
                <w:szCs w:val="24"/>
                <w:lang w:val="en-US"/>
              </w:rPr>
              <w:t>/2014</w:t>
            </w:r>
          </w:p>
        </w:tc>
      </w:tr>
      <w:tr w:rsidR="00867681" w:rsidTr="00BD0B25">
        <w:trPr>
          <w:trHeight w:hRule="exact" w:val="1070"/>
        </w:trPr>
        <w:tc>
          <w:tcPr>
            <w:tcW w:w="2127" w:type="dxa"/>
            <w:tcBorders>
              <w:top w:val="threeDEngrave" w:sz="2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color w:val="000000"/>
              </w:rPr>
            </w:pPr>
            <w:r>
              <w:rPr>
                <w:rFonts w:ascii="Calibri" w:hAnsi="Calibri" w:cs="Calibri"/>
                <w:color w:val="000000"/>
              </w:rPr>
              <w:t>Συνολική Κεφαλαιοποιημένη οφειλή</w:t>
            </w:r>
          </w:p>
        </w:tc>
        <w:tc>
          <w:tcPr>
            <w:tcW w:w="1844" w:type="dxa"/>
            <w:tcBorders>
              <w:top w:val="threeDEngrave" w:sz="2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345.191.829,14</w:t>
            </w:r>
          </w:p>
        </w:tc>
        <w:tc>
          <w:tcPr>
            <w:tcW w:w="1842" w:type="dxa"/>
            <w:tcBorders>
              <w:top w:val="threeDEngrave" w:sz="2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343.388.754,41 €</w:t>
            </w:r>
          </w:p>
        </w:tc>
        <w:tc>
          <w:tcPr>
            <w:tcW w:w="1843" w:type="dxa"/>
            <w:tcBorders>
              <w:top w:val="threeDEngrave" w:sz="2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342.503.946,95 €</w:t>
            </w:r>
          </w:p>
        </w:tc>
        <w:tc>
          <w:tcPr>
            <w:tcW w:w="1842" w:type="dxa"/>
            <w:tcBorders>
              <w:top w:val="threeDEngrave" w:sz="2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341.090.857,74 €</w:t>
            </w:r>
          </w:p>
        </w:tc>
      </w:tr>
      <w:tr w:rsidR="00867681" w:rsidTr="00BD0B25">
        <w:trPr>
          <w:trHeight w:hRule="exact" w:val="850"/>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color w:val="000000"/>
              </w:rPr>
            </w:pPr>
            <w:r>
              <w:rPr>
                <w:rFonts w:ascii="Calibri" w:hAnsi="Calibri" w:cs="Calibri"/>
                <w:color w:val="000000"/>
              </w:rPr>
              <w:t>Ενεργή Κεφαλαιοποιημένη οφειλή</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140.500.021,18 €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138.696.946,45 €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137.785.823,87 €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126.519.444,73 €</w:t>
            </w:r>
          </w:p>
        </w:tc>
      </w:tr>
      <w:tr w:rsidR="00867681" w:rsidTr="00BD0B25">
        <w:trPr>
          <w:trHeight w:hRule="exact" w:val="454"/>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color w:val="000000"/>
              </w:rPr>
            </w:pPr>
            <w:r>
              <w:rPr>
                <w:rFonts w:ascii="Calibri" w:hAnsi="Calibri" w:cs="Calibri"/>
                <w:color w:val="000000"/>
              </w:rPr>
              <w:t>Πλήθος ρυθμίσεων</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22.326</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22.191</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22.092</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20.671</w:t>
            </w:r>
          </w:p>
        </w:tc>
      </w:tr>
      <w:tr w:rsidR="00867681" w:rsidTr="00BD0B25">
        <w:trPr>
          <w:trHeight w:hRule="exact" w:val="542"/>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Εφάπαξ εξόφληση</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28.829.233,65 €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28.829.233,65 €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28.829.233,65 €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28.829.233,65 €</w:t>
            </w:r>
          </w:p>
        </w:tc>
      </w:tr>
      <w:tr w:rsidR="00867681" w:rsidTr="00BD0B25">
        <w:trPr>
          <w:trHeight w:hRule="exact" w:val="662"/>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Εξόφληση μέσω δόσεων</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40.264.986,05 €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40.264.986,05 €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41.843.015,95 €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42.686.558,43 €</w:t>
            </w:r>
          </w:p>
        </w:tc>
      </w:tr>
      <w:tr w:rsidR="00867681" w:rsidTr="00BD0B25">
        <w:trPr>
          <w:trHeight w:hRule="exact" w:val="922"/>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 xml:space="preserve">Αναμενόμενες εισπράξεις έως </w:t>
            </w:r>
            <w:r w:rsidRPr="00B34C2E">
              <w:rPr>
                <w:rFonts w:ascii="Calibri" w:hAnsi="Calibri" w:cs="Calibri"/>
                <w:b/>
              </w:rPr>
              <w:t>31/12/2013</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color w:val="000000"/>
              </w:rPr>
            </w:pP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color w:val="000000"/>
              </w:rPr>
            </w:pP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color w:val="000000"/>
              </w:rPr>
            </w:pP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color w:val="000000"/>
              </w:rPr>
            </w:pPr>
          </w:p>
        </w:tc>
      </w:tr>
      <w:tr w:rsidR="00867681" w:rsidTr="00A85422">
        <w:trPr>
          <w:trHeight w:hRule="exact" w:val="836"/>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lastRenderedPageBreak/>
              <w:t xml:space="preserve">Αναμενόμενες εισπράξεις έως </w:t>
            </w:r>
            <w:r w:rsidRPr="00B34C2E">
              <w:rPr>
                <w:rFonts w:ascii="Calibri" w:hAnsi="Calibri" w:cs="Calibri"/>
                <w:b/>
              </w:rPr>
              <w:t>31/12/2014</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5.588.788,06 €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5.493.291,90 €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3.883.068,66 €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2.521.183,79 €</w:t>
            </w:r>
          </w:p>
        </w:tc>
      </w:tr>
      <w:tr w:rsidR="00867681" w:rsidTr="00A85422">
        <w:trPr>
          <w:trHeight w:hRule="exact" w:val="1008"/>
        </w:trPr>
        <w:tc>
          <w:tcPr>
            <w:tcW w:w="2127" w:type="dxa"/>
            <w:tcBorders>
              <w:top w:val="double" w:sz="4" w:space="0" w:color="auto"/>
              <w:left w:val="threeDEngrave" w:sz="24" w:space="0" w:color="auto"/>
              <w:bottom w:val="threeDEmboss" w:sz="2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 xml:space="preserve">Αναμενόμενες εισπράξεις έως </w:t>
            </w:r>
            <w:r w:rsidRPr="00B34C2E">
              <w:rPr>
                <w:rFonts w:ascii="Calibri" w:hAnsi="Calibri" w:cs="Calibri"/>
                <w:b/>
              </w:rPr>
              <w:t>31/12/2015</w:t>
            </w:r>
          </w:p>
        </w:tc>
        <w:tc>
          <w:tcPr>
            <w:tcW w:w="1844" w:type="dxa"/>
            <w:tcBorders>
              <w:top w:val="double" w:sz="4" w:space="0" w:color="auto"/>
              <w:left w:val="double" w:sz="4" w:space="0" w:color="auto"/>
              <w:bottom w:val="threeDEmboss" w:sz="2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32.282.502,94 €</w:t>
            </w:r>
          </w:p>
        </w:tc>
        <w:tc>
          <w:tcPr>
            <w:tcW w:w="1842" w:type="dxa"/>
            <w:tcBorders>
              <w:top w:val="double" w:sz="4" w:space="0" w:color="auto"/>
              <w:left w:val="double" w:sz="4" w:space="0" w:color="auto"/>
              <w:bottom w:val="threeDEmboss" w:sz="2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31.737.336,54 €</w:t>
            </w:r>
          </w:p>
        </w:tc>
        <w:tc>
          <w:tcPr>
            <w:tcW w:w="1843" w:type="dxa"/>
            <w:tcBorders>
              <w:top w:val="double" w:sz="4" w:space="0" w:color="auto"/>
              <w:left w:val="double" w:sz="4" w:space="0" w:color="auto"/>
              <w:bottom w:val="threeDEmboss" w:sz="2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31.492.360,75 €</w:t>
            </w:r>
          </w:p>
        </w:tc>
        <w:tc>
          <w:tcPr>
            <w:tcW w:w="1842" w:type="dxa"/>
            <w:tcBorders>
              <w:top w:val="double" w:sz="4" w:space="0" w:color="auto"/>
              <w:left w:val="double" w:sz="4" w:space="0" w:color="auto"/>
              <w:bottom w:val="threeDEmboss" w:sz="2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28.063.975,31 €</w:t>
            </w:r>
          </w:p>
        </w:tc>
      </w:tr>
      <w:tr w:rsidR="00867681" w:rsidTr="00A85422">
        <w:trPr>
          <w:trHeight w:hRule="exact" w:val="1115"/>
        </w:trPr>
        <w:tc>
          <w:tcPr>
            <w:tcW w:w="2127" w:type="dxa"/>
            <w:tcBorders>
              <w:top w:val="threeDEmboss" w:sz="24" w:space="0" w:color="auto"/>
              <w:left w:val="threeDEngrave" w:sz="24" w:space="0" w:color="auto"/>
              <w:bottom w:val="double" w:sz="4" w:space="0" w:color="auto"/>
              <w:right w:val="double" w:sz="4" w:space="0" w:color="auto"/>
            </w:tcBorders>
            <w:vAlign w:val="center"/>
          </w:tcPr>
          <w:p w:rsidR="00867681" w:rsidRDefault="00867681" w:rsidP="00282C54">
            <w:pPr>
              <w:rPr>
                <w:rFonts w:ascii="Calibri" w:hAnsi="Calibri" w:cs="Calibri"/>
              </w:rPr>
            </w:pPr>
            <w:r>
              <w:rPr>
                <w:rFonts w:ascii="Calibri" w:hAnsi="Calibri" w:cs="Calibri"/>
              </w:rPr>
              <w:t xml:space="preserve">Αναμενόμενες εισπράξεις έως </w:t>
            </w:r>
            <w:r w:rsidRPr="00B34C2E">
              <w:rPr>
                <w:rFonts w:ascii="Calibri" w:hAnsi="Calibri" w:cs="Calibri"/>
                <w:b/>
              </w:rPr>
              <w:t>31/12/2016</w:t>
            </w:r>
          </w:p>
        </w:tc>
        <w:tc>
          <w:tcPr>
            <w:tcW w:w="1844" w:type="dxa"/>
            <w:tcBorders>
              <w:top w:val="threeDEmboss" w:sz="2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30.602.365,96 €</w:t>
            </w:r>
          </w:p>
        </w:tc>
        <w:tc>
          <w:tcPr>
            <w:tcW w:w="1842" w:type="dxa"/>
            <w:tcBorders>
              <w:top w:val="threeDEmboss" w:sz="2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30.064.866,94 €</w:t>
            </w:r>
          </w:p>
        </w:tc>
        <w:tc>
          <w:tcPr>
            <w:tcW w:w="1843" w:type="dxa"/>
            <w:tcBorders>
              <w:top w:val="threeDEmboss" w:sz="2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29.823.634,76 €</w:t>
            </w:r>
          </w:p>
        </w:tc>
        <w:tc>
          <w:tcPr>
            <w:tcW w:w="1842" w:type="dxa"/>
            <w:tcBorders>
              <w:top w:val="threeDEmboss" w:sz="2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26.498.365,11 €</w:t>
            </w:r>
          </w:p>
        </w:tc>
      </w:tr>
      <w:tr w:rsidR="00867681" w:rsidTr="00996215">
        <w:trPr>
          <w:trHeight w:hRule="exact" w:val="849"/>
        </w:trPr>
        <w:tc>
          <w:tcPr>
            <w:tcW w:w="2127" w:type="dxa"/>
            <w:tcBorders>
              <w:top w:val="double" w:sz="4" w:space="0" w:color="auto"/>
              <w:left w:val="threeDEngrave" w:sz="24" w:space="0" w:color="auto"/>
              <w:bottom w:val="double" w:sz="4" w:space="0" w:color="auto"/>
              <w:right w:val="double" w:sz="4" w:space="0" w:color="auto"/>
            </w:tcBorders>
            <w:vAlign w:val="center"/>
          </w:tcPr>
          <w:p w:rsidR="00867681" w:rsidRDefault="00867681" w:rsidP="00282C54">
            <w:pPr>
              <w:rPr>
                <w:rFonts w:ascii="Calibri" w:hAnsi="Calibri" w:cs="Calibri"/>
              </w:rPr>
            </w:pPr>
            <w:r>
              <w:rPr>
                <w:rFonts w:ascii="Calibri" w:hAnsi="Calibri" w:cs="Calibri"/>
              </w:rPr>
              <w:t xml:space="preserve">Αναμενόμενες εισπράξεις έως </w:t>
            </w:r>
            <w:r w:rsidRPr="00B34C2E">
              <w:rPr>
                <w:rFonts w:ascii="Calibri" w:hAnsi="Calibri" w:cs="Calibri"/>
                <w:b/>
              </w:rPr>
              <w:t>31/12/2017</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15.464.052,63 €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15.195.584,56 €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15.075.076,39 €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13.405.655,01 €</w:t>
            </w:r>
          </w:p>
        </w:tc>
      </w:tr>
      <w:tr w:rsidR="00867681" w:rsidTr="00996215">
        <w:trPr>
          <w:trHeight w:hRule="exact" w:val="736"/>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Απώλειες (πλήθος)</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20.975</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20.975</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20.979</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22.241</w:t>
            </w:r>
          </w:p>
        </w:tc>
      </w:tr>
      <w:tr w:rsidR="00867681" w:rsidTr="00996215">
        <w:trPr>
          <w:trHeight w:hRule="exact" w:val="736"/>
        </w:trPr>
        <w:tc>
          <w:tcPr>
            <w:tcW w:w="2127" w:type="dxa"/>
            <w:tcBorders>
              <w:top w:val="double" w:sz="4" w:space="0" w:color="auto"/>
              <w:left w:val="threeDEngrave" w:sz="24" w:space="0" w:color="auto"/>
              <w:bottom w:val="threeDEngrave" w:sz="2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Απώλειες (€)</w:t>
            </w:r>
          </w:p>
        </w:tc>
        <w:tc>
          <w:tcPr>
            <w:tcW w:w="1844" w:type="dxa"/>
            <w:tcBorders>
              <w:top w:val="double" w:sz="4" w:space="0" w:color="auto"/>
              <w:left w:val="double" w:sz="4" w:space="0" w:color="auto"/>
              <w:bottom w:val="threeDEngrave" w:sz="2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204.691.807,96 €</w:t>
            </w:r>
          </w:p>
        </w:tc>
        <w:tc>
          <w:tcPr>
            <w:tcW w:w="1842" w:type="dxa"/>
            <w:tcBorders>
              <w:top w:val="double" w:sz="4" w:space="0" w:color="auto"/>
              <w:left w:val="double" w:sz="4" w:space="0" w:color="auto"/>
              <w:bottom w:val="threeDEngrave" w:sz="2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204.691.807,96 €</w:t>
            </w:r>
          </w:p>
        </w:tc>
        <w:tc>
          <w:tcPr>
            <w:tcW w:w="1843" w:type="dxa"/>
            <w:tcBorders>
              <w:top w:val="double" w:sz="4" w:space="0" w:color="auto"/>
              <w:left w:val="double" w:sz="4" w:space="0" w:color="auto"/>
              <w:bottom w:val="threeDEngrave" w:sz="2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204.718.123,08 €</w:t>
            </w:r>
          </w:p>
        </w:tc>
        <w:tc>
          <w:tcPr>
            <w:tcW w:w="1842" w:type="dxa"/>
            <w:tcBorders>
              <w:top w:val="double" w:sz="4" w:space="0" w:color="auto"/>
              <w:left w:val="double" w:sz="4" w:space="0" w:color="auto"/>
              <w:bottom w:val="threeDEngrave" w:sz="2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214.571.413,01 €</w:t>
            </w:r>
          </w:p>
        </w:tc>
      </w:tr>
      <w:tr w:rsidR="00867681" w:rsidTr="00BD0B25">
        <w:trPr>
          <w:trHeight w:hRule="exact" w:val="652"/>
        </w:trPr>
        <w:tc>
          <w:tcPr>
            <w:tcW w:w="2127" w:type="dxa"/>
            <w:tcBorders>
              <w:top w:val="threeDEngrave" w:sz="24" w:space="0" w:color="auto"/>
              <w:left w:val="threeDEngrave" w:sz="24" w:space="0" w:color="auto"/>
              <w:bottom w:val="threeDEngrave" w:sz="24" w:space="0" w:color="auto"/>
              <w:right w:val="threeDEngrave" w:sz="24" w:space="0" w:color="auto"/>
            </w:tcBorders>
            <w:shd w:val="clear" w:color="auto" w:fill="FFFF00"/>
            <w:vAlign w:val="center"/>
          </w:tcPr>
          <w:p w:rsidR="00867681" w:rsidRPr="007A032E" w:rsidRDefault="00867681" w:rsidP="00282C54">
            <w:pPr>
              <w:rPr>
                <w:rFonts w:ascii="Calibri" w:hAnsi="Calibri" w:cs="Calibri"/>
                <w:b/>
                <w:bCs/>
                <w:color w:val="000000"/>
                <w:lang w:val="en-US"/>
              </w:rPr>
            </w:pPr>
            <w:r>
              <w:rPr>
                <w:rFonts w:ascii="Calibri" w:hAnsi="Calibri" w:cs="Calibri"/>
                <w:b/>
                <w:bCs/>
                <w:color w:val="000000"/>
              </w:rPr>
              <w:t>«</w:t>
            </w:r>
            <w:r w:rsidRPr="007A032E">
              <w:rPr>
                <w:rFonts w:ascii="Calibri" w:hAnsi="Calibri" w:cs="Calibri"/>
                <w:b/>
                <w:bCs/>
                <w:color w:val="000000"/>
              </w:rPr>
              <w:t>Πάγια Ρύθμιση</w:t>
            </w:r>
            <w:r>
              <w:rPr>
                <w:rFonts w:ascii="Calibri" w:hAnsi="Calibri" w:cs="Calibri"/>
                <w:b/>
                <w:bCs/>
                <w:color w:val="000000"/>
              </w:rPr>
              <w:t>»</w:t>
            </w:r>
          </w:p>
        </w:tc>
        <w:tc>
          <w:tcPr>
            <w:tcW w:w="1844" w:type="dxa"/>
            <w:tcBorders>
              <w:top w:val="threeDEngrave" w:sz="24" w:space="0" w:color="auto"/>
              <w:left w:val="threeDEngrave" w:sz="24" w:space="0" w:color="auto"/>
              <w:bottom w:val="threeDEngrave" w:sz="24" w:space="0" w:color="auto"/>
              <w:right w:val="threeDEngrave" w:sz="24" w:space="0" w:color="auto"/>
            </w:tcBorders>
            <w:shd w:val="clear" w:color="auto" w:fill="BFBFBF" w:themeFill="background1" w:themeFillShade="BF"/>
            <w:vAlign w:val="center"/>
          </w:tcPr>
          <w:p w:rsidR="00867681" w:rsidRPr="007A032E" w:rsidRDefault="00867681" w:rsidP="00282C54">
            <w:pPr>
              <w:jc w:val="center"/>
              <w:rPr>
                <w:b/>
                <w:sz w:val="24"/>
                <w:szCs w:val="24"/>
                <w:lang w:val="en-US"/>
              </w:rPr>
            </w:pPr>
            <w:r>
              <w:rPr>
                <w:b/>
                <w:sz w:val="24"/>
                <w:szCs w:val="24"/>
              </w:rPr>
              <w:t>21</w:t>
            </w:r>
            <w:r>
              <w:rPr>
                <w:b/>
                <w:sz w:val="24"/>
                <w:szCs w:val="24"/>
                <w:lang w:val="en-US"/>
              </w:rPr>
              <w:t>/1</w:t>
            </w:r>
            <w:r>
              <w:rPr>
                <w:b/>
                <w:sz w:val="24"/>
                <w:szCs w:val="24"/>
              </w:rPr>
              <w:t>1</w:t>
            </w:r>
            <w:r>
              <w:rPr>
                <w:b/>
                <w:sz w:val="24"/>
                <w:szCs w:val="24"/>
                <w:lang w:val="en-US"/>
              </w:rPr>
              <w:t>/2014</w:t>
            </w:r>
          </w:p>
        </w:tc>
        <w:tc>
          <w:tcPr>
            <w:tcW w:w="1842" w:type="dxa"/>
            <w:tcBorders>
              <w:top w:val="threeDEngrave" w:sz="24" w:space="0" w:color="auto"/>
              <w:left w:val="threeDEngrave" w:sz="24" w:space="0" w:color="auto"/>
              <w:bottom w:val="threeDEngrave" w:sz="24" w:space="0" w:color="auto"/>
              <w:right w:val="threeDEngrave" w:sz="24" w:space="0" w:color="auto"/>
            </w:tcBorders>
            <w:shd w:val="clear" w:color="auto" w:fill="BFBFBF" w:themeFill="background1" w:themeFillShade="BF"/>
            <w:vAlign w:val="center"/>
          </w:tcPr>
          <w:p w:rsidR="00867681" w:rsidRPr="006D2F48" w:rsidRDefault="00867681" w:rsidP="00282C54">
            <w:pPr>
              <w:jc w:val="center"/>
              <w:rPr>
                <w:b/>
                <w:sz w:val="24"/>
                <w:szCs w:val="24"/>
                <w:lang w:val="en-US"/>
              </w:rPr>
            </w:pPr>
            <w:r>
              <w:rPr>
                <w:b/>
                <w:sz w:val="24"/>
                <w:szCs w:val="24"/>
              </w:rPr>
              <w:t>28</w:t>
            </w:r>
            <w:r w:rsidRPr="006D2F48">
              <w:rPr>
                <w:b/>
                <w:sz w:val="24"/>
                <w:szCs w:val="24"/>
                <w:lang w:val="en-US"/>
              </w:rPr>
              <w:t>/1</w:t>
            </w:r>
            <w:r>
              <w:rPr>
                <w:b/>
                <w:sz w:val="24"/>
                <w:szCs w:val="24"/>
              </w:rPr>
              <w:t>1</w:t>
            </w:r>
            <w:r w:rsidRPr="006D2F48">
              <w:rPr>
                <w:b/>
                <w:sz w:val="24"/>
                <w:szCs w:val="24"/>
                <w:lang w:val="en-US"/>
              </w:rPr>
              <w:t>/2014</w:t>
            </w:r>
          </w:p>
        </w:tc>
        <w:tc>
          <w:tcPr>
            <w:tcW w:w="1843" w:type="dxa"/>
            <w:tcBorders>
              <w:top w:val="threeDEngrave" w:sz="24" w:space="0" w:color="auto"/>
              <w:left w:val="threeDEngrave" w:sz="24" w:space="0" w:color="auto"/>
              <w:bottom w:val="threeDEngrave" w:sz="24" w:space="0" w:color="auto"/>
              <w:right w:val="threeDEngrave" w:sz="24" w:space="0" w:color="auto"/>
            </w:tcBorders>
            <w:shd w:val="clear" w:color="auto" w:fill="BFBFBF" w:themeFill="background1" w:themeFillShade="BF"/>
            <w:vAlign w:val="center"/>
          </w:tcPr>
          <w:p w:rsidR="00867681" w:rsidRPr="006D2F48" w:rsidRDefault="00867681" w:rsidP="00282C54">
            <w:pPr>
              <w:jc w:val="center"/>
              <w:rPr>
                <w:b/>
                <w:sz w:val="24"/>
                <w:szCs w:val="24"/>
                <w:lang w:val="en-US"/>
              </w:rPr>
            </w:pPr>
            <w:r>
              <w:rPr>
                <w:b/>
                <w:sz w:val="24"/>
                <w:szCs w:val="24"/>
              </w:rPr>
              <w:t>05</w:t>
            </w:r>
            <w:r w:rsidRPr="006D2F48">
              <w:rPr>
                <w:b/>
                <w:sz w:val="24"/>
                <w:szCs w:val="24"/>
                <w:lang w:val="en-US"/>
              </w:rPr>
              <w:t>/</w:t>
            </w:r>
            <w:r>
              <w:rPr>
                <w:b/>
                <w:sz w:val="24"/>
                <w:szCs w:val="24"/>
              </w:rPr>
              <w:t>12</w:t>
            </w:r>
            <w:r w:rsidRPr="006D2F48">
              <w:rPr>
                <w:b/>
                <w:sz w:val="24"/>
                <w:szCs w:val="24"/>
                <w:lang w:val="en-US"/>
              </w:rPr>
              <w:t>/2014</w:t>
            </w:r>
          </w:p>
        </w:tc>
        <w:tc>
          <w:tcPr>
            <w:tcW w:w="1842" w:type="dxa"/>
            <w:tcBorders>
              <w:top w:val="threeDEngrave" w:sz="24" w:space="0" w:color="auto"/>
              <w:left w:val="threeDEngrave" w:sz="24" w:space="0" w:color="auto"/>
              <w:bottom w:val="threeDEngrave" w:sz="24" w:space="0" w:color="auto"/>
              <w:right w:val="threeDEngrave" w:sz="24" w:space="0" w:color="auto"/>
            </w:tcBorders>
            <w:shd w:val="clear" w:color="auto" w:fill="BFBFBF" w:themeFill="background1" w:themeFillShade="BF"/>
            <w:vAlign w:val="center"/>
          </w:tcPr>
          <w:p w:rsidR="00867681" w:rsidRPr="006D2F48" w:rsidRDefault="00867681" w:rsidP="00282C54">
            <w:pPr>
              <w:jc w:val="center"/>
              <w:rPr>
                <w:b/>
                <w:sz w:val="24"/>
                <w:szCs w:val="24"/>
                <w:lang w:val="en-US"/>
              </w:rPr>
            </w:pPr>
            <w:r>
              <w:rPr>
                <w:b/>
                <w:sz w:val="24"/>
                <w:szCs w:val="24"/>
              </w:rPr>
              <w:t>12</w:t>
            </w:r>
            <w:r>
              <w:rPr>
                <w:b/>
                <w:sz w:val="24"/>
                <w:szCs w:val="24"/>
                <w:lang w:val="en-US"/>
              </w:rPr>
              <w:t>/1</w:t>
            </w:r>
            <w:r>
              <w:rPr>
                <w:b/>
                <w:sz w:val="24"/>
                <w:szCs w:val="24"/>
              </w:rPr>
              <w:t>2</w:t>
            </w:r>
            <w:r>
              <w:rPr>
                <w:b/>
                <w:sz w:val="24"/>
                <w:szCs w:val="24"/>
                <w:lang w:val="en-US"/>
              </w:rPr>
              <w:t>/2014</w:t>
            </w:r>
          </w:p>
        </w:tc>
      </w:tr>
      <w:tr w:rsidR="00867681" w:rsidTr="00BD0B25">
        <w:trPr>
          <w:trHeight w:hRule="exact" w:val="930"/>
        </w:trPr>
        <w:tc>
          <w:tcPr>
            <w:tcW w:w="2127" w:type="dxa"/>
            <w:tcBorders>
              <w:top w:val="threeDEngrave" w:sz="2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color w:val="000000"/>
              </w:rPr>
            </w:pPr>
            <w:r>
              <w:rPr>
                <w:rFonts w:ascii="Calibri" w:hAnsi="Calibri" w:cs="Calibri"/>
                <w:color w:val="000000"/>
              </w:rPr>
              <w:t>Συνολική Κεφαλαιοποιημένη οφειλή</w:t>
            </w:r>
          </w:p>
        </w:tc>
        <w:tc>
          <w:tcPr>
            <w:tcW w:w="1844" w:type="dxa"/>
            <w:tcBorders>
              <w:top w:val="threeDEngrave" w:sz="2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200.888.659,46 €</w:t>
            </w:r>
          </w:p>
        </w:tc>
        <w:tc>
          <w:tcPr>
            <w:tcW w:w="1842" w:type="dxa"/>
            <w:tcBorders>
              <w:top w:val="threeDEngrave" w:sz="2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199.511.120,80 €</w:t>
            </w:r>
          </w:p>
        </w:tc>
        <w:tc>
          <w:tcPr>
            <w:tcW w:w="1843" w:type="dxa"/>
            <w:tcBorders>
              <w:top w:val="threeDEngrave" w:sz="2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196.550.459,23 €</w:t>
            </w:r>
          </w:p>
        </w:tc>
        <w:tc>
          <w:tcPr>
            <w:tcW w:w="1842" w:type="dxa"/>
            <w:tcBorders>
              <w:top w:val="threeDEngrave" w:sz="2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195.830.838,78 €</w:t>
            </w:r>
          </w:p>
        </w:tc>
      </w:tr>
      <w:tr w:rsidR="00867681" w:rsidTr="00101698">
        <w:trPr>
          <w:trHeight w:hRule="exact" w:val="841"/>
        </w:trPr>
        <w:tc>
          <w:tcPr>
            <w:tcW w:w="2127" w:type="dxa"/>
            <w:tcBorders>
              <w:top w:val="double" w:sz="4" w:space="0" w:color="auto"/>
              <w:left w:val="threeDEngrave" w:sz="24" w:space="0" w:color="auto"/>
              <w:bottom w:val="double" w:sz="4" w:space="0" w:color="auto"/>
              <w:right w:val="double" w:sz="4" w:space="0" w:color="auto"/>
            </w:tcBorders>
            <w:vAlign w:val="center"/>
          </w:tcPr>
          <w:p w:rsidR="00867681" w:rsidRDefault="00867681" w:rsidP="00282C54">
            <w:pPr>
              <w:rPr>
                <w:rFonts w:ascii="Calibri" w:hAnsi="Calibri" w:cs="Calibri"/>
                <w:color w:val="000000"/>
              </w:rPr>
            </w:pPr>
            <w:r>
              <w:rPr>
                <w:rFonts w:ascii="Calibri" w:hAnsi="Calibri" w:cs="Calibri"/>
                <w:color w:val="000000"/>
              </w:rPr>
              <w:t>Ενεργή Κεφαλαιοποιημένη οφειλή</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71.966.878,10 €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70.584.633,63 €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67.556.109,76 €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52.220.965,84 €</w:t>
            </w:r>
          </w:p>
        </w:tc>
      </w:tr>
      <w:tr w:rsidR="00867681" w:rsidTr="00101698">
        <w:trPr>
          <w:trHeight w:hRule="exact" w:val="353"/>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color w:val="000000"/>
              </w:rPr>
            </w:pPr>
            <w:r>
              <w:rPr>
                <w:rFonts w:ascii="Calibri" w:hAnsi="Calibri" w:cs="Calibri"/>
                <w:color w:val="000000"/>
              </w:rPr>
              <w:t>Πλήθος ρυθμίσεων</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 xml:space="preserve">20.856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 xml:space="preserve">20.666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 xml:space="preserve">19.647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 xml:space="preserve">16.620  </w:t>
            </w:r>
          </w:p>
        </w:tc>
      </w:tr>
      <w:tr w:rsidR="00867681" w:rsidTr="00101698">
        <w:trPr>
          <w:trHeight w:hRule="exact" w:val="550"/>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Εφάπαξ εξόφληση</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16.231.908,42 €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16.231.908,42 €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16.244.461,82 €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16.286.815,72 €</w:t>
            </w:r>
          </w:p>
        </w:tc>
      </w:tr>
      <w:tr w:rsidR="00867681" w:rsidTr="00BD0B25">
        <w:trPr>
          <w:trHeight w:hRule="exact" w:val="655"/>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Εξόφληση μέσω δόσεων</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50.299.216,11 €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50.299.216,11 €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52.745.178,44 €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53.190.398,49 €</w:t>
            </w:r>
          </w:p>
        </w:tc>
      </w:tr>
      <w:tr w:rsidR="00867681" w:rsidTr="00BD0B25">
        <w:trPr>
          <w:trHeight w:hRule="exact" w:val="913"/>
        </w:trPr>
        <w:tc>
          <w:tcPr>
            <w:tcW w:w="2127" w:type="dxa"/>
            <w:tcBorders>
              <w:top w:val="double" w:sz="4" w:space="0" w:color="auto"/>
              <w:left w:val="threeDEngrave" w:sz="24" w:space="0" w:color="auto"/>
              <w:bottom w:val="double" w:sz="4" w:space="0" w:color="auto"/>
              <w:right w:val="double" w:sz="4" w:space="0" w:color="auto"/>
            </w:tcBorders>
            <w:vAlign w:val="center"/>
          </w:tcPr>
          <w:p w:rsidR="00867681" w:rsidRDefault="00867681" w:rsidP="00282C54">
            <w:pPr>
              <w:rPr>
                <w:rFonts w:ascii="Calibri" w:hAnsi="Calibri" w:cs="Calibri"/>
              </w:rPr>
            </w:pPr>
            <w:r>
              <w:rPr>
                <w:rFonts w:ascii="Calibri" w:hAnsi="Calibri" w:cs="Calibri"/>
              </w:rPr>
              <w:t xml:space="preserve">Αναμενόμενες εισπράξεις έως </w:t>
            </w:r>
            <w:r w:rsidRPr="00371D41">
              <w:rPr>
                <w:rFonts w:ascii="Calibri" w:hAnsi="Calibri" w:cs="Calibri"/>
                <w:b/>
              </w:rPr>
              <w:t>31/12/2013</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color w:val="000000"/>
              </w:rPr>
            </w:pP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color w:val="000000"/>
              </w:rPr>
            </w:pPr>
            <w:r>
              <w:rPr>
                <w:rFonts w:ascii="Calibri" w:hAnsi="Calibri" w:cs="Calibri"/>
                <w:color w:val="000000"/>
              </w:rPr>
              <w:t>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color w:val="000000"/>
              </w:rPr>
            </w:pPr>
            <w:r>
              <w:rPr>
                <w:rFonts w:ascii="Calibri" w:hAnsi="Calibri" w:cs="Calibri"/>
                <w:color w:val="000000"/>
              </w:rPr>
              <w:t>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color w:val="000000"/>
              </w:rPr>
            </w:pPr>
            <w:r>
              <w:rPr>
                <w:rFonts w:ascii="Calibri" w:hAnsi="Calibri" w:cs="Calibri"/>
                <w:color w:val="000000"/>
              </w:rPr>
              <w:t> </w:t>
            </w:r>
          </w:p>
        </w:tc>
      </w:tr>
      <w:tr w:rsidR="00867681" w:rsidTr="00BD0B25">
        <w:trPr>
          <w:trHeight w:hRule="exact" w:val="840"/>
        </w:trPr>
        <w:tc>
          <w:tcPr>
            <w:tcW w:w="2127" w:type="dxa"/>
            <w:tcBorders>
              <w:top w:val="double" w:sz="4" w:space="0" w:color="auto"/>
              <w:left w:val="threeDEngrave" w:sz="24" w:space="0" w:color="auto"/>
              <w:bottom w:val="double" w:sz="4" w:space="0" w:color="auto"/>
              <w:right w:val="double" w:sz="4" w:space="0" w:color="auto"/>
            </w:tcBorders>
            <w:vAlign w:val="center"/>
          </w:tcPr>
          <w:p w:rsidR="00867681" w:rsidRDefault="00867681" w:rsidP="00282C54">
            <w:pPr>
              <w:rPr>
                <w:rFonts w:ascii="Calibri" w:hAnsi="Calibri" w:cs="Calibri"/>
              </w:rPr>
            </w:pPr>
            <w:r>
              <w:rPr>
                <w:rFonts w:ascii="Calibri" w:hAnsi="Calibri" w:cs="Calibri"/>
              </w:rPr>
              <w:t xml:space="preserve">Αναμενόμενες εισπράξεις έως </w:t>
            </w:r>
            <w:r w:rsidRPr="00371D41">
              <w:rPr>
                <w:rFonts w:ascii="Calibri" w:hAnsi="Calibri" w:cs="Calibri"/>
                <w:b/>
              </w:rPr>
              <w:t>31/12/2014</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8.232.580,86 €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8.006.167,82 €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5.434.593,54 €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3.137.225,18 €</w:t>
            </w:r>
          </w:p>
        </w:tc>
      </w:tr>
      <w:tr w:rsidR="00867681" w:rsidTr="00BD0B25">
        <w:trPr>
          <w:trHeight w:hRule="exact" w:val="852"/>
        </w:trPr>
        <w:tc>
          <w:tcPr>
            <w:tcW w:w="2127" w:type="dxa"/>
            <w:tcBorders>
              <w:top w:val="double" w:sz="4" w:space="0" w:color="auto"/>
              <w:left w:val="threeDEngrave" w:sz="24" w:space="0" w:color="auto"/>
              <w:bottom w:val="double" w:sz="4" w:space="0" w:color="auto"/>
              <w:right w:val="double" w:sz="4" w:space="0" w:color="auto"/>
            </w:tcBorders>
            <w:vAlign w:val="center"/>
          </w:tcPr>
          <w:p w:rsidR="00867681" w:rsidRDefault="00867681" w:rsidP="00282C54">
            <w:pPr>
              <w:rPr>
                <w:rFonts w:ascii="Calibri" w:hAnsi="Calibri" w:cs="Calibri"/>
              </w:rPr>
            </w:pPr>
            <w:r>
              <w:rPr>
                <w:rFonts w:ascii="Calibri" w:hAnsi="Calibri" w:cs="Calibri"/>
              </w:rPr>
              <w:t xml:space="preserve">Αναμενόμενες εισπράξεις έως </w:t>
            </w:r>
            <w:r w:rsidRPr="00371D41">
              <w:rPr>
                <w:rFonts w:ascii="Calibri" w:hAnsi="Calibri" w:cs="Calibri"/>
                <w:b/>
              </w:rPr>
              <w:t>31/12/2015</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26.642.531,72 €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25.904.628,74 €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25.410.090,63 €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15.730.014,20 €</w:t>
            </w:r>
          </w:p>
        </w:tc>
      </w:tr>
      <w:tr w:rsidR="00867681" w:rsidTr="00BD0B25">
        <w:trPr>
          <w:trHeight w:hRule="exact" w:val="567"/>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Απώλειες (πλήθος)</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 xml:space="preserve">29.194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 xml:space="preserve">29.195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 xml:space="preserve">29.210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 xml:space="preserve">32.032  </w:t>
            </w:r>
          </w:p>
        </w:tc>
      </w:tr>
      <w:tr w:rsidR="00867681" w:rsidTr="00BD0B25">
        <w:trPr>
          <w:trHeight w:hRule="exact" w:val="703"/>
        </w:trPr>
        <w:tc>
          <w:tcPr>
            <w:tcW w:w="2127" w:type="dxa"/>
            <w:tcBorders>
              <w:top w:val="double" w:sz="4" w:space="0" w:color="auto"/>
              <w:left w:val="threeDEngrave" w:sz="24" w:space="0" w:color="auto"/>
              <w:bottom w:val="threeDEngrave" w:sz="2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Απώλειες (€)</w:t>
            </w:r>
          </w:p>
        </w:tc>
        <w:tc>
          <w:tcPr>
            <w:tcW w:w="1844" w:type="dxa"/>
            <w:tcBorders>
              <w:top w:val="double" w:sz="4" w:space="0" w:color="auto"/>
              <w:left w:val="double" w:sz="4" w:space="0" w:color="auto"/>
              <w:bottom w:val="threeDEngrave" w:sz="2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128.921.781,36 €</w:t>
            </w:r>
          </w:p>
        </w:tc>
        <w:tc>
          <w:tcPr>
            <w:tcW w:w="1842" w:type="dxa"/>
            <w:tcBorders>
              <w:top w:val="double" w:sz="4" w:space="0" w:color="auto"/>
              <w:left w:val="double" w:sz="4" w:space="0" w:color="auto"/>
              <w:bottom w:val="threeDEngrave" w:sz="2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128.926.487,17 €</w:t>
            </w:r>
          </w:p>
        </w:tc>
        <w:tc>
          <w:tcPr>
            <w:tcW w:w="1843" w:type="dxa"/>
            <w:tcBorders>
              <w:top w:val="double" w:sz="4" w:space="0" w:color="auto"/>
              <w:left w:val="double" w:sz="4" w:space="0" w:color="auto"/>
              <w:bottom w:val="threeDEngrave" w:sz="2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128.994.349,47 €</w:t>
            </w:r>
          </w:p>
        </w:tc>
        <w:tc>
          <w:tcPr>
            <w:tcW w:w="1842" w:type="dxa"/>
            <w:tcBorders>
              <w:top w:val="double" w:sz="4" w:space="0" w:color="auto"/>
              <w:left w:val="double" w:sz="4" w:space="0" w:color="auto"/>
              <w:bottom w:val="threeDEngrave" w:sz="2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143.609.872,94 €</w:t>
            </w:r>
          </w:p>
        </w:tc>
      </w:tr>
      <w:tr w:rsidR="00867681" w:rsidTr="00BD0B25">
        <w:trPr>
          <w:trHeight w:hRule="exact" w:val="838"/>
        </w:trPr>
        <w:tc>
          <w:tcPr>
            <w:tcW w:w="9498" w:type="dxa"/>
            <w:gridSpan w:val="5"/>
            <w:tcBorders>
              <w:top w:val="threeDEngrave" w:sz="24" w:space="0" w:color="auto"/>
              <w:left w:val="threeDEngrave" w:sz="24" w:space="0" w:color="auto"/>
              <w:bottom w:val="threeDEngrave" w:sz="24" w:space="0" w:color="auto"/>
              <w:right w:val="threeDEngrave" w:sz="24" w:space="0" w:color="auto"/>
            </w:tcBorders>
            <w:shd w:val="clear" w:color="auto" w:fill="BFBFBF" w:themeFill="background1" w:themeFillShade="BF"/>
            <w:vAlign w:val="center"/>
          </w:tcPr>
          <w:p w:rsidR="00867681" w:rsidRDefault="00867681" w:rsidP="00282C54">
            <w:pPr>
              <w:jc w:val="center"/>
              <w:rPr>
                <w:b/>
                <w:sz w:val="24"/>
                <w:szCs w:val="24"/>
              </w:rPr>
            </w:pPr>
            <w:r w:rsidRPr="0025228E">
              <w:rPr>
                <w:b/>
                <w:sz w:val="26"/>
                <w:szCs w:val="26"/>
              </w:rPr>
              <w:t xml:space="preserve">Πίνακας </w:t>
            </w:r>
            <w:r w:rsidR="00157B5C">
              <w:rPr>
                <w:b/>
                <w:sz w:val="26"/>
                <w:szCs w:val="26"/>
              </w:rPr>
              <w:t>6</w:t>
            </w:r>
            <w:r w:rsidRPr="0025228E">
              <w:rPr>
                <w:b/>
                <w:sz w:val="26"/>
                <w:szCs w:val="26"/>
              </w:rPr>
              <w:t>:</w:t>
            </w:r>
            <w:r>
              <w:t xml:space="preserve"> </w:t>
            </w:r>
            <w:r w:rsidRPr="0025228E">
              <w:rPr>
                <w:sz w:val="24"/>
                <w:szCs w:val="24"/>
              </w:rPr>
              <w:t>Στατιστικά στοιχεία ρυθμίσεων του Ν. 4152/2013</w:t>
            </w:r>
            <w:r>
              <w:rPr>
                <w:sz w:val="24"/>
                <w:szCs w:val="24"/>
              </w:rPr>
              <w:t xml:space="preserve"> στον </w:t>
            </w:r>
            <w:r w:rsidRPr="00130BA9">
              <w:rPr>
                <w:b/>
                <w:sz w:val="24"/>
                <w:szCs w:val="24"/>
              </w:rPr>
              <w:t>ΟΑΕΕ</w:t>
            </w:r>
            <w:r>
              <w:rPr>
                <w:b/>
                <w:sz w:val="24"/>
                <w:szCs w:val="24"/>
              </w:rPr>
              <w:t xml:space="preserve">, </w:t>
            </w:r>
          </w:p>
          <w:p w:rsidR="00867681" w:rsidRPr="0025228E" w:rsidRDefault="00867681" w:rsidP="00282C54">
            <w:pPr>
              <w:jc w:val="center"/>
              <w:rPr>
                <w:b/>
                <w:sz w:val="26"/>
                <w:szCs w:val="26"/>
              </w:rPr>
            </w:pPr>
            <w:r>
              <w:rPr>
                <w:sz w:val="24"/>
                <w:szCs w:val="24"/>
              </w:rPr>
              <w:t xml:space="preserve">μόνο </w:t>
            </w:r>
            <w:r w:rsidRPr="000D5EC8">
              <w:rPr>
                <w:sz w:val="24"/>
                <w:szCs w:val="24"/>
              </w:rPr>
              <w:t xml:space="preserve">κατά τη διάρκεια του </w:t>
            </w:r>
            <w:r w:rsidRPr="000D5EC8">
              <w:rPr>
                <w:b/>
                <w:sz w:val="24"/>
                <w:szCs w:val="24"/>
              </w:rPr>
              <w:t>2014</w:t>
            </w:r>
            <w:r>
              <w:t xml:space="preserve"> </w:t>
            </w:r>
            <w:r w:rsidRPr="0025228E">
              <w:rPr>
                <w:i/>
                <w:sz w:val="21"/>
                <w:szCs w:val="21"/>
              </w:rPr>
              <w:t xml:space="preserve">(ποσά σε </w:t>
            </w:r>
            <w:r w:rsidRPr="0025228E">
              <w:rPr>
                <w:rFonts w:cstheme="minorHAnsi"/>
                <w:i/>
                <w:sz w:val="21"/>
                <w:szCs w:val="21"/>
              </w:rPr>
              <w:t>€</w:t>
            </w:r>
            <w:r w:rsidRPr="0025228E">
              <w:rPr>
                <w:i/>
                <w:sz w:val="21"/>
                <w:szCs w:val="21"/>
              </w:rPr>
              <w:t>)</w:t>
            </w:r>
          </w:p>
        </w:tc>
      </w:tr>
      <w:tr w:rsidR="00867681" w:rsidTr="00A85422">
        <w:trPr>
          <w:trHeight w:hRule="exact" w:val="834"/>
        </w:trPr>
        <w:tc>
          <w:tcPr>
            <w:tcW w:w="2127" w:type="dxa"/>
            <w:tcBorders>
              <w:top w:val="threeDEngrave" w:sz="24" w:space="0" w:color="auto"/>
              <w:left w:val="threeDEngrave" w:sz="24" w:space="0" w:color="auto"/>
              <w:bottom w:val="threeDEngrave" w:sz="24" w:space="0" w:color="auto"/>
              <w:right w:val="threeDEngrave" w:sz="24" w:space="0" w:color="auto"/>
            </w:tcBorders>
            <w:shd w:val="clear" w:color="auto" w:fill="92D050"/>
            <w:vAlign w:val="center"/>
          </w:tcPr>
          <w:p w:rsidR="00867681" w:rsidRPr="000D5EC8" w:rsidRDefault="00867681" w:rsidP="00282C54">
            <w:r>
              <w:rPr>
                <w:rFonts w:ascii="Calibri" w:hAnsi="Calibri" w:cs="Calibri"/>
                <w:b/>
                <w:bCs/>
                <w:color w:val="000000"/>
              </w:rPr>
              <w:lastRenderedPageBreak/>
              <w:t>Ρύθμιση: «</w:t>
            </w:r>
            <w:r w:rsidRPr="00CD6BB0">
              <w:rPr>
                <w:rFonts w:ascii="Calibri" w:hAnsi="Calibri" w:cs="Calibri"/>
                <w:b/>
                <w:bCs/>
                <w:color w:val="000000"/>
                <w:lang w:val="en-US"/>
              </w:rPr>
              <w:t>Νέα</w:t>
            </w:r>
            <w:r>
              <w:rPr>
                <w:rFonts w:ascii="Calibri" w:hAnsi="Calibri" w:cs="Calibri"/>
                <w:b/>
                <w:bCs/>
                <w:color w:val="000000"/>
              </w:rPr>
              <w:t xml:space="preserve"> </w:t>
            </w:r>
            <w:r w:rsidRPr="00CD6BB0">
              <w:rPr>
                <w:rFonts w:ascii="Calibri" w:hAnsi="Calibri" w:cs="Calibri"/>
                <w:b/>
                <w:bCs/>
                <w:color w:val="000000"/>
                <w:lang w:val="en-US"/>
              </w:rPr>
              <w:t>Αρχή</w:t>
            </w:r>
            <w:r>
              <w:rPr>
                <w:rFonts w:ascii="Calibri" w:hAnsi="Calibri" w:cs="Calibri"/>
                <w:b/>
                <w:bCs/>
                <w:color w:val="000000"/>
              </w:rPr>
              <w:t>»</w:t>
            </w:r>
          </w:p>
        </w:tc>
        <w:tc>
          <w:tcPr>
            <w:tcW w:w="1844" w:type="dxa"/>
            <w:tcBorders>
              <w:top w:val="threeDEngrave" w:sz="24" w:space="0" w:color="auto"/>
              <w:left w:val="threeDEngrave" w:sz="24" w:space="0" w:color="auto"/>
              <w:bottom w:val="threeDEngrave" w:sz="24" w:space="0" w:color="auto"/>
              <w:right w:val="threeDEngrave" w:sz="24" w:space="0" w:color="auto"/>
            </w:tcBorders>
            <w:shd w:val="clear" w:color="auto" w:fill="BFBFBF" w:themeFill="background1" w:themeFillShade="BF"/>
            <w:vAlign w:val="center"/>
          </w:tcPr>
          <w:p w:rsidR="00867681" w:rsidRPr="007A032E" w:rsidRDefault="00867681" w:rsidP="00282C54">
            <w:pPr>
              <w:jc w:val="center"/>
              <w:rPr>
                <w:b/>
                <w:sz w:val="24"/>
                <w:szCs w:val="24"/>
                <w:lang w:val="en-US"/>
              </w:rPr>
            </w:pPr>
            <w:r>
              <w:rPr>
                <w:b/>
                <w:sz w:val="24"/>
                <w:szCs w:val="24"/>
              </w:rPr>
              <w:t>21</w:t>
            </w:r>
            <w:r>
              <w:rPr>
                <w:b/>
                <w:sz w:val="24"/>
                <w:szCs w:val="24"/>
                <w:lang w:val="en-US"/>
              </w:rPr>
              <w:t>/1</w:t>
            </w:r>
            <w:r>
              <w:rPr>
                <w:b/>
                <w:sz w:val="24"/>
                <w:szCs w:val="24"/>
              </w:rPr>
              <w:t>1</w:t>
            </w:r>
            <w:r>
              <w:rPr>
                <w:b/>
                <w:sz w:val="24"/>
                <w:szCs w:val="24"/>
                <w:lang w:val="en-US"/>
              </w:rPr>
              <w:t>/2014</w:t>
            </w:r>
          </w:p>
        </w:tc>
        <w:tc>
          <w:tcPr>
            <w:tcW w:w="1842" w:type="dxa"/>
            <w:tcBorders>
              <w:top w:val="threeDEngrave" w:sz="24" w:space="0" w:color="auto"/>
              <w:left w:val="threeDEngrave" w:sz="24" w:space="0" w:color="auto"/>
              <w:bottom w:val="threeDEngrave" w:sz="24" w:space="0" w:color="auto"/>
              <w:right w:val="threeDEngrave" w:sz="24" w:space="0" w:color="auto"/>
            </w:tcBorders>
            <w:shd w:val="clear" w:color="auto" w:fill="BFBFBF" w:themeFill="background1" w:themeFillShade="BF"/>
            <w:vAlign w:val="center"/>
          </w:tcPr>
          <w:p w:rsidR="00867681" w:rsidRPr="006D2F48" w:rsidRDefault="00867681" w:rsidP="00282C54">
            <w:pPr>
              <w:jc w:val="center"/>
              <w:rPr>
                <w:b/>
                <w:sz w:val="24"/>
                <w:szCs w:val="24"/>
                <w:lang w:val="en-US"/>
              </w:rPr>
            </w:pPr>
            <w:r>
              <w:rPr>
                <w:b/>
                <w:sz w:val="24"/>
                <w:szCs w:val="24"/>
              </w:rPr>
              <w:t>28</w:t>
            </w:r>
            <w:r w:rsidRPr="006D2F48">
              <w:rPr>
                <w:b/>
                <w:sz w:val="24"/>
                <w:szCs w:val="24"/>
                <w:lang w:val="en-US"/>
              </w:rPr>
              <w:t>/1</w:t>
            </w:r>
            <w:r>
              <w:rPr>
                <w:b/>
                <w:sz w:val="24"/>
                <w:szCs w:val="24"/>
              </w:rPr>
              <w:t>1</w:t>
            </w:r>
            <w:r w:rsidRPr="006D2F48">
              <w:rPr>
                <w:b/>
                <w:sz w:val="24"/>
                <w:szCs w:val="24"/>
                <w:lang w:val="en-US"/>
              </w:rPr>
              <w:t>/2014</w:t>
            </w:r>
          </w:p>
        </w:tc>
        <w:tc>
          <w:tcPr>
            <w:tcW w:w="1843" w:type="dxa"/>
            <w:tcBorders>
              <w:top w:val="threeDEngrave" w:sz="24" w:space="0" w:color="auto"/>
              <w:left w:val="threeDEngrave" w:sz="24" w:space="0" w:color="auto"/>
              <w:bottom w:val="threeDEngrave" w:sz="24" w:space="0" w:color="auto"/>
              <w:right w:val="threeDEngrave" w:sz="24" w:space="0" w:color="auto"/>
            </w:tcBorders>
            <w:shd w:val="clear" w:color="auto" w:fill="BFBFBF" w:themeFill="background1" w:themeFillShade="BF"/>
            <w:vAlign w:val="center"/>
          </w:tcPr>
          <w:p w:rsidR="00867681" w:rsidRPr="006D2F48" w:rsidRDefault="00867681" w:rsidP="00282C54">
            <w:pPr>
              <w:jc w:val="center"/>
              <w:rPr>
                <w:b/>
                <w:sz w:val="24"/>
                <w:szCs w:val="24"/>
                <w:lang w:val="en-US"/>
              </w:rPr>
            </w:pPr>
            <w:r>
              <w:rPr>
                <w:b/>
                <w:sz w:val="24"/>
                <w:szCs w:val="24"/>
              </w:rPr>
              <w:t>05</w:t>
            </w:r>
            <w:r w:rsidRPr="006D2F48">
              <w:rPr>
                <w:b/>
                <w:sz w:val="24"/>
                <w:szCs w:val="24"/>
                <w:lang w:val="en-US"/>
              </w:rPr>
              <w:t>/</w:t>
            </w:r>
            <w:r>
              <w:rPr>
                <w:b/>
                <w:sz w:val="24"/>
                <w:szCs w:val="24"/>
              </w:rPr>
              <w:t>12</w:t>
            </w:r>
            <w:r w:rsidRPr="006D2F48">
              <w:rPr>
                <w:b/>
                <w:sz w:val="24"/>
                <w:szCs w:val="24"/>
                <w:lang w:val="en-US"/>
              </w:rPr>
              <w:t>/2014</w:t>
            </w:r>
          </w:p>
        </w:tc>
        <w:tc>
          <w:tcPr>
            <w:tcW w:w="1842" w:type="dxa"/>
            <w:tcBorders>
              <w:top w:val="threeDEngrave" w:sz="24" w:space="0" w:color="auto"/>
              <w:left w:val="threeDEngrave" w:sz="24" w:space="0" w:color="auto"/>
              <w:bottom w:val="threeDEngrave" w:sz="24" w:space="0" w:color="auto"/>
              <w:right w:val="threeDEngrave" w:sz="24" w:space="0" w:color="auto"/>
            </w:tcBorders>
            <w:shd w:val="clear" w:color="auto" w:fill="BFBFBF" w:themeFill="background1" w:themeFillShade="BF"/>
            <w:vAlign w:val="center"/>
          </w:tcPr>
          <w:p w:rsidR="00867681" w:rsidRPr="006D2F48" w:rsidRDefault="00867681" w:rsidP="00282C54">
            <w:pPr>
              <w:jc w:val="center"/>
              <w:rPr>
                <w:b/>
                <w:sz w:val="24"/>
                <w:szCs w:val="24"/>
                <w:lang w:val="en-US"/>
              </w:rPr>
            </w:pPr>
            <w:r>
              <w:rPr>
                <w:b/>
                <w:sz w:val="24"/>
                <w:szCs w:val="24"/>
              </w:rPr>
              <w:t>12</w:t>
            </w:r>
            <w:r>
              <w:rPr>
                <w:b/>
                <w:sz w:val="24"/>
                <w:szCs w:val="24"/>
                <w:lang w:val="en-US"/>
              </w:rPr>
              <w:t>/1</w:t>
            </w:r>
            <w:r>
              <w:rPr>
                <w:b/>
                <w:sz w:val="24"/>
                <w:szCs w:val="24"/>
              </w:rPr>
              <w:t>2</w:t>
            </w:r>
            <w:r>
              <w:rPr>
                <w:b/>
                <w:sz w:val="24"/>
                <w:szCs w:val="24"/>
                <w:lang w:val="en-US"/>
              </w:rPr>
              <w:t>/2014</w:t>
            </w:r>
          </w:p>
        </w:tc>
      </w:tr>
      <w:tr w:rsidR="00867681" w:rsidTr="00A85422">
        <w:trPr>
          <w:trHeight w:hRule="exact" w:val="924"/>
        </w:trPr>
        <w:tc>
          <w:tcPr>
            <w:tcW w:w="2127" w:type="dxa"/>
            <w:tcBorders>
              <w:top w:val="threeDEngrave" w:sz="24" w:space="0" w:color="auto"/>
              <w:left w:val="threeDEngrave" w:sz="24" w:space="0" w:color="auto"/>
              <w:bottom w:val="threeDEmboss" w:sz="24" w:space="0" w:color="auto"/>
              <w:right w:val="double" w:sz="4" w:space="0" w:color="auto"/>
            </w:tcBorders>
            <w:vAlign w:val="bottom"/>
          </w:tcPr>
          <w:p w:rsidR="00867681" w:rsidRDefault="00867681" w:rsidP="00282C54">
            <w:pPr>
              <w:rPr>
                <w:rFonts w:ascii="Calibri" w:hAnsi="Calibri" w:cs="Calibri"/>
                <w:color w:val="000000"/>
              </w:rPr>
            </w:pPr>
            <w:r>
              <w:rPr>
                <w:rFonts w:ascii="Calibri" w:hAnsi="Calibri" w:cs="Calibri"/>
                <w:color w:val="000000"/>
              </w:rPr>
              <w:t>Συνολική Κεφαλαιοποιημένη οφειλή</w:t>
            </w:r>
          </w:p>
        </w:tc>
        <w:tc>
          <w:tcPr>
            <w:tcW w:w="1844" w:type="dxa"/>
            <w:tcBorders>
              <w:top w:val="threeDEngrave" w:sz="24" w:space="0" w:color="auto"/>
              <w:left w:val="double" w:sz="4" w:space="0" w:color="auto"/>
              <w:bottom w:val="threeDEmboss" w:sz="2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115.536.357,20 €</w:t>
            </w:r>
          </w:p>
        </w:tc>
        <w:tc>
          <w:tcPr>
            <w:tcW w:w="1842" w:type="dxa"/>
            <w:tcBorders>
              <w:top w:val="threeDEngrave" w:sz="24" w:space="0" w:color="auto"/>
              <w:left w:val="double" w:sz="4" w:space="0" w:color="auto"/>
              <w:bottom w:val="threeDEmboss" w:sz="2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114.566.103,53 €</w:t>
            </w:r>
          </w:p>
        </w:tc>
        <w:tc>
          <w:tcPr>
            <w:tcW w:w="1843" w:type="dxa"/>
            <w:tcBorders>
              <w:top w:val="threeDEngrave" w:sz="24" w:space="0" w:color="auto"/>
              <w:left w:val="double" w:sz="4" w:space="0" w:color="auto"/>
              <w:bottom w:val="threeDEmboss" w:sz="2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114.143.481,89 €</w:t>
            </w:r>
          </w:p>
        </w:tc>
        <w:tc>
          <w:tcPr>
            <w:tcW w:w="1842" w:type="dxa"/>
            <w:tcBorders>
              <w:top w:val="threeDEngrave" w:sz="24" w:space="0" w:color="auto"/>
              <w:left w:val="double" w:sz="4" w:space="0" w:color="auto"/>
              <w:bottom w:val="threeDEmboss" w:sz="2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113.260.527,79 €</w:t>
            </w:r>
          </w:p>
        </w:tc>
      </w:tr>
      <w:tr w:rsidR="00867681" w:rsidTr="00A85422">
        <w:trPr>
          <w:trHeight w:hRule="exact" w:val="971"/>
        </w:trPr>
        <w:tc>
          <w:tcPr>
            <w:tcW w:w="2127" w:type="dxa"/>
            <w:tcBorders>
              <w:top w:val="threeDEmboss" w:sz="2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color w:val="000000"/>
              </w:rPr>
            </w:pPr>
            <w:r>
              <w:rPr>
                <w:rFonts w:ascii="Calibri" w:hAnsi="Calibri" w:cs="Calibri"/>
                <w:color w:val="000000"/>
              </w:rPr>
              <w:t>Ενεργή Κεφαλαιοποιημένη οφειλή</w:t>
            </w:r>
          </w:p>
        </w:tc>
        <w:tc>
          <w:tcPr>
            <w:tcW w:w="1844" w:type="dxa"/>
            <w:tcBorders>
              <w:top w:val="threeDEmboss" w:sz="2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62.277.782,25 €</w:t>
            </w:r>
          </w:p>
        </w:tc>
        <w:tc>
          <w:tcPr>
            <w:tcW w:w="1842" w:type="dxa"/>
            <w:tcBorders>
              <w:top w:val="threeDEmboss" w:sz="2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61.307.528,58 €</w:t>
            </w:r>
          </w:p>
        </w:tc>
        <w:tc>
          <w:tcPr>
            <w:tcW w:w="1843" w:type="dxa"/>
            <w:tcBorders>
              <w:top w:val="threeDEmboss" w:sz="2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60.864.086,20 €</w:t>
            </w:r>
          </w:p>
        </w:tc>
        <w:tc>
          <w:tcPr>
            <w:tcW w:w="1842" w:type="dxa"/>
            <w:tcBorders>
              <w:top w:val="threeDEmboss" w:sz="2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54.121.227,35 €</w:t>
            </w:r>
          </w:p>
        </w:tc>
      </w:tr>
      <w:tr w:rsidR="00867681" w:rsidTr="00A85422">
        <w:trPr>
          <w:trHeight w:hRule="exact" w:val="480"/>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color w:val="000000"/>
              </w:rPr>
            </w:pPr>
            <w:r>
              <w:rPr>
                <w:rFonts w:ascii="Calibri" w:hAnsi="Calibri" w:cs="Calibri"/>
                <w:color w:val="000000"/>
              </w:rPr>
              <w:t>Πλήθος ρυθμίσεων</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10.623</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10.548</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10.506</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9.628</w:t>
            </w:r>
          </w:p>
        </w:tc>
      </w:tr>
      <w:tr w:rsidR="00867681" w:rsidTr="00A85422">
        <w:trPr>
          <w:trHeight w:hRule="exact" w:val="567"/>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Εφάπαξ εξόφληση</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10.568.807,50 €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10.568.807,50 €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10.568.807,50 €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10.568.807,50 €</w:t>
            </w:r>
          </w:p>
        </w:tc>
      </w:tr>
      <w:tr w:rsidR="00867681" w:rsidTr="00A85422">
        <w:trPr>
          <w:trHeight w:hRule="exact" w:val="693"/>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Εξόφληση μέσω δόσεων</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11.307.008,01 €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11.307.008,01 €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11.955.000,94 €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12.443.169,47 €</w:t>
            </w:r>
          </w:p>
        </w:tc>
      </w:tr>
      <w:tr w:rsidR="00867681" w:rsidTr="00A85422">
        <w:trPr>
          <w:trHeight w:hRule="exact" w:val="1063"/>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 xml:space="preserve">Αναμενόμενες εισπράξεις έως </w:t>
            </w:r>
            <w:r w:rsidRPr="00CD6BB0">
              <w:rPr>
                <w:rFonts w:ascii="Calibri" w:hAnsi="Calibri" w:cs="Calibri"/>
                <w:b/>
              </w:rPr>
              <w:t>31/12/2014</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2.804.753,50 €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2.748.847,86 €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2.079.755,30 €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1.253.047,67 €</w:t>
            </w:r>
          </w:p>
        </w:tc>
      </w:tr>
      <w:tr w:rsidR="00867681" w:rsidTr="00BD0B25">
        <w:trPr>
          <w:trHeight w:hRule="exact" w:val="844"/>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 xml:space="preserve">Αναμενόμενες εισπράξεις έως </w:t>
            </w:r>
            <w:r w:rsidRPr="00CD6BB0">
              <w:rPr>
                <w:rFonts w:ascii="Calibri" w:hAnsi="Calibri" w:cs="Calibri"/>
                <w:b/>
              </w:rPr>
              <w:t>31/12/2015</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16.319.342,48 €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16.002.623,80 €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15.863.706,64 €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13.660.006,77 €</w:t>
            </w:r>
          </w:p>
        </w:tc>
      </w:tr>
      <w:tr w:rsidR="00867681" w:rsidTr="00BD0B25">
        <w:trPr>
          <w:trHeight w:hRule="exact" w:val="856"/>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 xml:space="preserve">Αναμενόμενες εισπράξεις έως </w:t>
            </w:r>
            <w:r w:rsidRPr="00CD6BB0">
              <w:rPr>
                <w:rFonts w:ascii="Calibri" w:hAnsi="Calibri" w:cs="Calibri"/>
                <w:b/>
              </w:rPr>
              <w:t>31/12/2016</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15.403.704,11 €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15.093.586,43 €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14.955.723,34 €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12.816.764,20 €</w:t>
            </w:r>
          </w:p>
        </w:tc>
      </w:tr>
      <w:tr w:rsidR="00867681" w:rsidTr="00157B5C">
        <w:trPr>
          <w:trHeight w:hRule="exact" w:val="854"/>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 xml:space="preserve">Αναμενόμενες εισπράξεις έως </w:t>
            </w:r>
            <w:r w:rsidRPr="00CD6BB0">
              <w:rPr>
                <w:rFonts w:ascii="Calibri" w:hAnsi="Calibri" w:cs="Calibri"/>
                <w:b/>
              </w:rPr>
              <w:t>31/12/2017</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7.811.754,26 €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7.656.444,67 €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7.587.689,51 €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6.508.078,46 €</w:t>
            </w:r>
          </w:p>
        </w:tc>
      </w:tr>
      <w:tr w:rsidR="00867681" w:rsidTr="00A85422">
        <w:trPr>
          <w:trHeight w:hRule="exact" w:val="357"/>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Απώλειες (πλήθος)</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5.693</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5.693</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5.695</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6.469</w:t>
            </w:r>
          </w:p>
        </w:tc>
      </w:tr>
      <w:tr w:rsidR="00867681" w:rsidTr="00101698">
        <w:trPr>
          <w:trHeight w:hRule="exact" w:val="567"/>
        </w:trPr>
        <w:tc>
          <w:tcPr>
            <w:tcW w:w="2127" w:type="dxa"/>
            <w:tcBorders>
              <w:top w:val="double" w:sz="4" w:space="0" w:color="auto"/>
              <w:left w:val="threeDEngrave" w:sz="24" w:space="0" w:color="auto"/>
              <w:bottom w:val="threeDEngrave" w:sz="2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Απώλειες (€)</w:t>
            </w:r>
          </w:p>
        </w:tc>
        <w:tc>
          <w:tcPr>
            <w:tcW w:w="1844" w:type="dxa"/>
            <w:tcBorders>
              <w:top w:val="double" w:sz="4" w:space="0" w:color="auto"/>
              <w:left w:val="double" w:sz="4" w:space="0" w:color="auto"/>
              <w:bottom w:val="threeDEngrave" w:sz="2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53.258.574,95 €</w:t>
            </w:r>
          </w:p>
        </w:tc>
        <w:tc>
          <w:tcPr>
            <w:tcW w:w="1842" w:type="dxa"/>
            <w:tcBorders>
              <w:top w:val="double" w:sz="4" w:space="0" w:color="auto"/>
              <w:left w:val="double" w:sz="4" w:space="0" w:color="auto"/>
              <w:bottom w:val="threeDEngrave" w:sz="2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53.258.574,95 €</w:t>
            </w:r>
          </w:p>
        </w:tc>
        <w:tc>
          <w:tcPr>
            <w:tcW w:w="1843" w:type="dxa"/>
            <w:tcBorders>
              <w:top w:val="double" w:sz="4" w:space="0" w:color="auto"/>
              <w:left w:val="double" w:sz="4" w:space="0" w:color="auto"/>
              <w:bottom w:val="threeDEngrave" w:sz="2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53.279.395,69 €</w:t>
            </w:r>
          </w:p>
        </w:tc>
        <w:tc>
          <w:tcPr>
            <w:tcW w:w="1842" w:type="dxa"/>
            <w:tcBorders>
              <w:top w:val="double" w:sz="4" w:space="0" w:color="auto"/>
              <w:left w:val="double" w:sz="4" w:space="0" w:color="auto"/>
              <w:bottom w:val="threeDEngrave" w:sz="2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59.139.300,44 €</w:t>
            </w:r>
          </w:p>
        </w:tc>
      </w:tr>
      <w:tr w:rsidR="00867681" w:rsidTr="00A85422">
        <w:trPr>
          <w:trHeight w:hRule="exact" w:val="590"/>
        </w:trPr>
        <w:tc>
          <w:tcPr>
            <w:tcW w:w="2127" w:type="dxa"/>
            <w:tcBorders>
              <w:top w:val="threeDEngrave" w:sz="24" w:space="0" w:color="auto"/>
              <w:left w:val="threeDEngrave" w:sz="24" w:space="0" w:color="auto"/>
              <w:bottom w:val="threeDEngrave" w:sz="24" w:space="0" w:color="auto"/>
              <w:right w:val="threeDEngrave" w:sz="24" w:space="0" w:color="auto"/>
            </w:tcBorders>
            <w:shd w:val="clear" w:color="auto" w:fill="FFFF00"/>
            <w:vAlign w:val="center"/>
          </w:tcPr>
          <w:p w:rsidR="00867681" w:rsidRPr="007A032E" w:rsidRDefault="00867681" w:rsidP="00282C54">
            <w:pPr>
              <w:rPr>
                <w:rFonts w:ascii="Calibri" w:hAnsi="Calibri" w:cs="Calibri"/>
                <w:b/>
                <w:bCs/>
                <w:color w:val="000000"/>
                <w:lang w:val="en-US"/>
              </w:rPr>
            </w:pPr>
            <w:r>
              <w:rPr>
                <w:rFonts w:ascii="Calibri" w:hAnsi="Calibri" w:cs="Calibri"/>
                <w:b/>
                <w:bCs/>
                <w:color w:val="000000"/>
              </w:rPr>
              <w:t>«</w:t>
            </w:r>
            <w:r w:rsidRPr="007A032E">
              <w:rPr>
                <w:rFonts w:ascii="Calibri" w:hAnsi="Calibri" w:cs="Calibri"/>
                <w:b/>
                <w:bCs/>
                <w:color w:val="000000"/>
              </w:rPr>
              <w:t>Πάγια Ρύθμιση</w:t>
            </w:r>
            <w:r>
              <w:rPr>
                <w:rFonts w:ascii="Calibri" w:hAnsi="Calibri" w:cs="Calibri"/>
                <w:b/>
                <w:bCs/>
                <w:color w:val="000000"/>
              </w:rPr>
              <w:t>»</w:t>
            </w:r>
          </w:p>
        </w:tc>
        <w:tc>
          <w:tcPr>
            <w:tcW w:w="1844" w:type="dxa"/>
            <w:tcBorders>
              <w:top w:val="threeDEngrave" w:sz="24" w:space="0" w:color="auto"/>
              <w:left w:val="threeDEngrave" w:sz="24" w:space="0" w:color="auto"/>
              <w:bottom w:val="threeDEngrave" w:sz="24" w:space="0" w:color="auto"/>
              <w:right w:val="threeDEngrave" w:sz="24" w:space="0" w:color="auto"/>
            </w:tcBorders>
            <w:shd w:val="clear" w:color="auto" w:fill="BFBFBF" w:themeFill="background1" w:themeFillShade="BF"/>
            <w:vAlign w:val="center"/>
          </w:tcPr>
          <w:p w:rsidR="00867681" w:rsidRPr="007A032E" w:rsidRDefault="00867681" w:rsidP="00282C54">
            <w:pPr>
              <w:jc w:val="center"/>
              <w:rPr>
                <w:b/>
                <w:sz w:val="24"/>
                <w:szCs w:val="24"/>
                <w:lang w:val="en-US"/>
              </w:rPr>
            </w:pPr>
            <w:r>
              <w:rPr>
                <w:b/>
                <w:sz w:val="24"/>
                <w:szCs w:val="24"/>
              </w:rPr>
              <w:t>21</w:t>
            </w:r>
            <w:r>
              <w:rPr>
                <w:b/>
                <w:sz w:val="24"/>
                <w:szCs w:val="24"/>
                <w:lang w:val="en-US"/>
              </w:rPr>
              <w:t>/1</w:t>
            </w:r>
            <w:r>
              <w:rPr>
                <w:b/>
                <w:sz w:val="24"/>
                <w:szCs w:val="24"/>
              </w:rPr>
              <w:t>1</w:t>
            </w:r>
            <w:r>
              <w:rPr>
                <w:b/>
                <w:sz w:val="24"/>
                <w:szCs w:val="24"/>
                <w:lang w:val="en-US"/>
              </w:rPr>
              <w:t>/2014</w:t>
            </w:r>
          </w:p>
        </w:tc>
        <w:tc>
          <w:tcPr>
            <w:tcW w:w="1842" w:type="dxa"/>
            <w:tcBorders>
              <w:top w:val="threeDEngrave" w:sz="24" w:space="0" w:color="auto"/>
              <w:left w:val="threeDEngrave" w:sz="24" w:space="0" w:color="auto"/>
              <w:bottom w:val="threeDEngrave" w:sz="24" w:space="0" w:color="auto"/>
              <w:right w:val="threeDEngrave" w:sz="24" w:space="0" w:color="auto"/>
            </w:tcBorders>
            <w:shd w:val="clear" w:color="auto" w:fill="BFBFBF" w:themeFill="background1" w:themeFillShade="BF"/>
            <w:vAlign w:val="center"/>
          </w:tcPr>
          <w:p w:rsidR="00867681" w:rsidRPr="006D2F48" w:rsidRDefault="00867681" w:rsidP="00282C54">
            <w:pPr>
              <w:jc w:val="center"/>
              <w:rPr>
                <w:b/>
                <w:sz w:val="24"/>
                <w:szCs w:val="24"/>
                <w:lang w:val="en-US"/>
              </w:rPr>
            </w:pPr>
            <w:r>
              <w:rPr>
                <w:b/>
                <w:sz w:val="24"/>
                <w:szCs w:val="24"/>
              </w:rPr>
              <w:t>28</w:t>
            </w:r>
            <w:r w:rsidRPr="006D2F48">
              <w:rPr>
                <w:b/>
                <w:sz w:val="24"/>
                <w:szCs w:val="24"/>
                <w:lang w:val="en-US"/>
              </w:rPr>
              <w:t>/1</w:t>
            </w:r>
            <w:r>
              <w:rPr>
                <w:b/>
                <w:sz w:val="24"/>
                <w:szCs w:val="24"/>
              </w:rPr>
              <w:t>1</w:t>
            </w:r>
            <w:r w:rsidRPr="006D2F48">
              <w:rPr>
                <w:b/>
                <w:sz w:val="24"/>
                <w:szCs w:val="24"/>
                <w:lang w:val="en-US"/>
              </w:rPr>
              <w:t>/2014</w:t>
            </w:r>
          </w:p>
        </w:tc>
        <w:tc>
          <w:tcPr>
            <w:tcW w:w="1843" w:type="dxa"/>
            <w:tcBorders>
              <w:top w:val="threeDEngrave" w:sz="24" w:space="0" w:color="auto"/>
              <w:left w:val="threeDEngrave" w:sz="24" w:space="0" w:color="auto"/>
              <w:bottom w:val="threeDEngrave" w:sz="24" w:space="0" w:color="auto"/>
              <w:right w:val="threeDEngrave" w:sz="24" w:space="0" w:color="auto"/>
            </w:tcBorders>
            <w:shd w:val="clear" w:color="auto" w:fill="BFBFBF" w:themeFill="background1" w:themeFillShade="BF"/>
            <w:vAlign w:val="center"/>
          </w:tcPr>
          <w:p w:rsidR="00867681" w:rsidRPr="006D2F48" w:rsidRDefault="00867681" w:rsidP="00282C54">
            <w:pPr>
              <w:jc w:val="center"/>
              <w:rPr>
                <w:b/>
                <w:sz w:val="24"/>
                <w:szCs w:val="24"/>
                <w:lang w:val="en-US"/>
              </w:rPr>
            </w:pPr>
            <w:r>
              <w:rPr>
                <w:b/>
                <w:sz w:val="24"/>
                <w:szCs w:val="24"/>
              </w:rPr>
              <w:t>05</w:t>
            </w:r>
            <w:r w:rsidRPr="006D2F48">
              <w:rPr>
                <w:b/>
                <w:sz w:val="24"/>
                <w:szCs w:val="24"/>
                <w:lang w:val="en-US"/>
              </w:rPr>
              <w:t>/</w:t>
            </w:r>
            <w:r>
              <w:rPr>
                <w:b/>
                <w:sz w:val="24"/>
                <w:szCs w:val="24"/>
              </w:rPr>
              <w:t>12</w:t>
            </w:r>
            <w:r w:rsidRPr="006D2F48">
              <w:rPr>
                <w:b/>
                <w:sz w:val="24"/>
                <w:szCs w:val="24"/>
                <w:lang w:val="en-US"/>
              </w:rPr>
              <w:t>/2014</w:t>
            </w:r>
          </w:p>
        </w:tc>
        <w:tc>
          <w:tcPr>
            <w:tcW w:w="1842" w:type="dxa"/>
            <w:tcBorders>
              <w:top w:val="threeDEngrave" w:sz="24" w:space="0" w:color="auto"/>
              <w:left w:val="threeDEngrave" w:sz="24" w:space="0" w:color="auto"/>
              <w:bottom w:val="threeDEngrave" w:sz="24" w:space="0" w:color="auto"/>
              <w:right w:val="threeDEngrave" w:sz="24" w:space="0" w:color="auto"/>
            </w:tcBorders>
            <w:shd w:val="clear" w:color="auto" w:fill="BFBFBF" w:themeFill="background1" w:themeFillShade="BF"/>
            <w:vAlign w:val="center"/>
          </w:tcPr>
          <w:p w:rsidR="00867681" w:rsidRPr="006D2F48" w:rsidRDefault="00867681" w:rsidP="00282C54">
            <w:pPr>
              <w:jc w:val="center"/>
              <w:rPr>
                <w:b/>
                <w:sz w:val="24"/>
                <w:szCs w:val="24"/>
                <w:lang w:val="en-US"/>
              </w:rPr>
            </w:pPr>
            <w:r>
              <w:rPr>
                <w:b/>
                <w:sz w:val="24"/>
                <w:szCs w:val="24"/>
              </w:rPr>
              <w:t>12</w:t>
            </w:r>
            <w:r>
              <w:rPr>
                <w:b/>
                <w:sz w:val="24"/>
                <w:szCs w:val="24"/>
                <w:lang w:val="en-US"/>
              </w:rPr>
              <w:t>/1</w:t>
            </w:r>
            <w:r>
              <w:rPr>
                <w:b/>
                <w:sz w:val="24"/>
                <w:szCs w:val="24"/>
              </w:rPr>
              <w:t>2</w:t>
            </w:r>
            <w:r>
              <w:rPr>
                <w:b/>
                <w:sz w:val="24"/>
                <w:szCs w:val="24"/>
                <w:lang w:val="en-US"/>
              </w:rPr>
              <w:t>/2014</w:t>
            </w:r>
          </w:p>
        </w:tc>
      </w:tr>
      <w:tr w:rsidR="00867681" w:rsidTr="00BD0B25">
        <w:trPr>
          <w:trHeight w:hRule="exact" w:val="981"/>
        </w:trPr>
        <w:tc>
          <w:tcPr>
            <w:tcW w:w="2127" w:type="dxa"/>
            <w:tcBorders>
              <w:top w:val="threeDEngrave" w:sz="2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color w:val="000000"/>
              </w:rPr>
            </w:pPr>
            <w:r>
              <w:rPr>
                <w:rFonts w:ascii="Calibri" w:hAnsi="Calibri" w:cs="Calibri"/>
                <w:color w:val="000000"/>
              </w:rPr>
              <w:t>Συνολική Κεφαλαιοποιημένη οφειλή</w:t>
            </w:r>
          </w:p>
        </w:tc>
        <w:tc>
          <w:tcPr>
            <w:tcW w:w="1844" w:type="dxa"/>
            <w:tcBorders>
              <w:top w:val="threeDEngrave" w:sz="2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143.178.831,10 €</w:t>
            </w:r>
          </w:p>
        </w:tc>
        <w:tc>
          <w:tcPr>
            <w:tcW w:w="1842" w:type="dxa"/>
            <w:tcBorders>
              <w:top w:val="threeDEngrave" w:sz="2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141.846.006,82 €</w:t>
            </w:r>
          </w:p>
        </w:tc>
        <w:tc>
          <w:tcPr>
            <w:tcW w:w="1843" w:type="dxa"/>
            <w:tcBorders>
              <w:top w:val="threeDEngrave" w:sz="2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140.997.904,97 €</w:t>
            </w:r>
          </w:p>
        </w:tc>
        <w:tc>
          <w:tcPr>
            <w:tcW w:w="1842" w:type="dxa"/>
            <w:tcBorders>
              <w:top w:val="threeDEngrave" w:sz="2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140.677.161,32 €</w:t>
            </w:r>
          </w:p>
        </w:tc>
      </w:tr>
      <w:tr w:rsidR="00867681" w:rsidTr="00BD0B25">
        <w:trPr>
          <w:trHeight w:hRule="exact" w:val="839"/>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color w:val="000000"/>
              </w:rPr>
            </w:pPr>
            <w:r>
              <w:rPr>
                <w:rFonts w:ascii="Calibri" w:hAnsi="Calibri" w:cs="Calibri"/>
                <w:color w:val="000000"/>
              </w:rPr>
              <w:t>Ενεργή Κεφαλαιοποιημένη οφειλή</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60.376.382,55 €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59.038.852,46 €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58.189.173,59 €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43.780.079,99 €</w:t>
            </w:r>
          </w:p>
        </w:tc>
      </w:tr>
      <w:tr w:rsidR="00867681" w:rsidTr="00BD0B25">
        <w:trPr>
          <w:trHeight w:hRule="exact" w:val="454"/>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color w:val="000000"/>
              </w:rPr>
            </w:pPr>
            <w:r>
              <w:rPr>
                <w:rFonts w:ascii="Calibri" w:hAnsi="Calibri" w:cs="Calibri"/>
                <w:color w:val="000000"/>
              </w:rPr>
              <w:t>Πλήθος ρυθμίσεων</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 xml:space="preserve">16.700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 xml:space="preserve">16.525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 xml:space="preserve">16.405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 xml:space="preserve">13.777  </w:t>
            </w:r>
          </w:p>
        </w:tc>
      </w:tr>
      <w:tr w:rsidR="00867681" w:rsidTr="00A85422">
        <w:trPr>
          <w:trHeight w:hRule="exact" w:val="373"/>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Εφάπαξ εξόφληση</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11.038.703,51 €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11.038.703,51 €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11.051.256,82 €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11.093.610,75 €</w:t>
            </w:r>
          </w:p>
        </w:tc>
      </w:tr>
      <w:tr w:rsidR="00867681" w:rsidTr="00A85422">
        <w:trPr>
          <w:trHeight w:hRule="exact" w:val="576"/>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Εξόφληση μέσω δόσεων</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27.098.320,77 €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27.098.320,77 €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29.109.068,76 €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29.498.554,84 €</w:t>
            </w:r>
          </w:p>
        </w:tc>
      </w:tr>
      <w:tr w:rsidR="00867681" w:rsidTr="007B0F77">
        <w:trPr>
          <w:trHeight w:hRule="exact" w:val="944"/>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 xml:space="preserve">Αναμενόμενες εισπράξεις έως </w:t>
            </w:r>
            <w:r w:rsidRPr="00CD6BB0">
              <w:rPr>
                <w:rFonts w:ascii="Calibri" w:hAnsi="Calibri" w:cs="Calibri"/>
                <w:b/>
              </w:rPr>
              <w:t>31/12/2014</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7.377.004,01 €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7.157.278,46 €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5.021.053,31 €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2.855.759,52 €</w:t>
            </w:r>
          </w:p>
        </w:tc>
      </w:tr>
      <w:tr w:rsidR="00867681" w:rsidTr="00A85422">
        <w:trPr>
          <w:trHeight w:hRule="exact" w:val="886"/>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lastRenderedPageBreak/>
              <w:t xml:space="preserve">Αναμενόμενες εισπράξεις έως </w:t>
            </w:r>
            <w:r w:rsidRPr="00CD6BB0">
              <w:rPr>
                <w:rFonts w:ascii="Calibri" w:hAnsi="Calibri" w:cs="Calibri"/>
                <w:b/>
              </w:rPr>
              <w:t>31/12/2015</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26.642.384,27 €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25.902.457,16 €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25.402.247,54 €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15.730.014,20 €</w:t>
            </w:r>
          </w:p>
        </w:tc>
      </w:tr>
      <w:tr w:rsidR="00867681" w:rsidTr="00BD0B25">
        <w:trPr>
          <w:trHeight w:hRule="exact" w:val="454"/>
        </w:trPr>
        <w:tc>
          <w:tcPr>
            <w:tcW w:w="2127" w:type="dxa"/>
            <w:tcBorders>
              <w:top w:val="double" w:sz="4" w:space="0" w:color="auto"/>
              <w:left w:val="threeDEngrave" w:sz="24" w:space="0" w:color="auto"/>
              <w:bottom w:val="double" w:sz="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Απώλειες (πλήθος)</w:t>
            </w:r>
          </w:p>
        </w:tc>
        <w:tc>
          <w:tcPr>
            <w:tcW w:w="1844"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 xml:space="preserve">15.059  </w:t>
            </w:r>
          </w:p>
        </w:tc>
        <w:tc>
          <w:tcPr>
            <w:tcW w:w="1842"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 xml:space="preserve">15.060  </w:t>
            </w:r>
          </w:p>
        </w:tc>
        <w:tc>
          <w:tcPr>
            <w:tcW w:w="1843" w:type="dxa"/>
            <w:tcBorders>
              <w:top w:val="double" w:sz="4" w:space="0" w:color="auto"/>
              <w:left w:val="double" w:sz="4" w:space="0" w:color="auto"/>
              <w:bottom w:val="double" w:sz="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 xml:space="preserve">15.061  </w:t>
            </w:r>
          </w:p>
        </w:tc>
        <w:tc>
          <w:tcPr>
            <w:tcW w:w="1842" w:type="dxa"/>
            <w:tcBorders>
              <w:top w:val="double" w:sz="4" w:space="0" w:color="auto"/>
              <w:left w:val="double" w:sz="4" w:space="0" w:color="auto"/>
              <w:bottom w:val="double" w:sz="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 xml:space="preserve">17.676  </w:t>
            </w:r>
          </w:p>
        </w:tc>
      </w:tr>
      <w:tr w:rsidR="00867681" w:rsidTr="00BD0B25">
        <w:trPr>
          <w:trHeight w:hRule="exact" w:val="540"/>
        </w:trPr>
        <w:tc>
          <w:tcPr>
            <w:tcW w:w="2127" w:type="dxa"/>
            <w:tcBorders>
              <w:top w:val="double" w:sz="4" w:space="0" w:color="auto"/>
              <w:left w:val="threeDEngrave" w:sz="24" w:space="0" w:color="auto"/>
              <w:bottom w:val="threeDEngrave" w:sz="24" w:space="0" w:color="auto"/>
              <w:right w:val="double" w:sz="4" w:space="0" w:color="auto"/>
            </w:tcBorders>
            <w:vAlign w:val="bottom"/>
          </w:tcPr>
          <w:p w:rsidR="00867681" w:rsidRDefault="00867681" w:rsidP="00282C54">
            <w:pPr>
              <w:rPr>
                <w:rFonts w:ascii="Calibri" w:hAnsi="Calibri" w:cs="Calibri"/>
              </w:rPr>
            </w:pPr>
            <w:r>
              <w:rPr>
                <w:rFonts w:ascii="Calibri" w:hAnsi="Calibri" w:cs="Calibri"/>
              </w:rPr>
              <w:t>Απώλειες (€)</w:t>
            </w:r>
          </w:p>
        </w:tc>
        <w:tc>
          <w:tcPr>
            <w:tcW w:w="1844" w:type="dxa"/>
            <w:tcBorders>
              <w:top w:val="double" w:sz="4" w:space="0" w:color="auto"/>
              <w:left w:val="double" w:sz="4" w:space="0" w:color="auto"/>
              <w:bottom w:val="threeDEngrave" w:sz="2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82.802.448,55 €</w:t>
            </w:r>
          </w:p>
        </w:tc>
        <w:tc>
          <w:tcPr>
            <w:tcW w:w="1842" w:type="dxa"/>
            <w:tcBorders>
              <w:top w:val="double" w:sz="4" w:space="0" w:color="auto"/>
              <w:left w:val="double" w:sz="4" w:space="0" w:color="auto"/>
              <w:bottom w:val="threeDEngrave" w:sz="2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82.807.154,36 €</w:t>
            </w:r>
          </w:p>
        </w:tc>
        <w:tc>
          <w:tcPr>
            <w:tcW w:w="1843" w:type="dxa"/>
            <w:tcBorders>
              <w:top w:val="double" w:sz="4" w:space="0" w:color="auto"/>
              <w:left w:val="double" w:sz="4" w:space="0" w:color="auto"/>
              <w:bottom w:val="threeDEngrave" w:sz="24" w:space="0" w:color="auto"/>
              <w:right w:val="double" w:sz="4" w:space="0" w:color="auto"/>
            </w:tcBorders>
            <w:vAlign w:val="bottom"/>
          </w:tcPr>
          <w:p w:rsidR="00867681" w:rsidRDefault="00867681" w:rsidP="00282C54">
            <w:pPr>
              <w:jc w:val="center"/>
              <w:rPr>
                <w:rFonts w:ascii="Calibri" w:hAnsi="Calibri" w:cs="Calibri"/>
              </w:rPr>
            </w:pPr>
            <w:r>
              <w:rPr>
                <w:rFonts w:ascii="Calibri" w:hAnsi="Calibri" w:cs="Calibri"/>
              </w:rPr>
              <w:t>82.808.731,38 €</w:t>
            </w:r>
          </w:p>
        </w:tc>
        <w:tc>
          <w:tcPr>
            <w:tcW w:w="1842" w:type="dxa"/>
            <w:tcBorders>
              <w:top w:val="double" w:sz="4" w:space="0" w:color="auto"/>
              <w:left w:val="double" w:sz="4" w:space="0" w:color="auto"/>
              <w:bottom w:val="threeDEngrave" w:sz="24" w:space="0" w:color="auto"/>
              <w:right w:val="threeDEngrave" w:sz="24" w:space="0" w:color="auto"/>
            </w:tcBorders>
            <w:vAlign w:val="bottom"/>
          </w:tcPr>
          <w:p w:rsidR="00867681" w:rsidRDefault="00867681" w:rsidP="00282C54">
            <w:pPr>
              <w:jc w:val="center"/>
              <w:rPr>
                <w:rFonts w:ascii="Calibri" w:hAnsi="Calibri" w:cs="Calibri"/>
              </w:rPr>
            </w:pPr>
            <w:r>
              <w:rPr>
                <w:rFonts w:ascii="Calibri" w:hAnsi="Calibri" w:cs="Calibri"/>
              </w:rPr>
              <w:t>96.897.081,33 €</w:t>
            </w:r>
          </w:p>
        </w:tc>
      </w:tr>
    </w:tbl>
    <w:p w:rsidR="00867681" w:rsidRPr="00A85422" w:rsidRDefault="00867681" w:rsidP="00934C36">
      <w:pPr>
        <w:rPr>
          <w:sz w:val="24"/>
          <w:szCs w:val="24"/>
        </w:rPr>
      </w:pPr>
    </w:p>
    <w:sectPr w:rsidR="00867681" w:rsidRPr="00A85422" w:rsidSect="00A85422">
      <w:footerReference w:type="default" r:id="rId9"/>
      <w:pgSz w:w="11906" w:h="16838"/>
      <w:pgMar w:top="1276" w:right="1800" w:bottom="1135"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3BF" w:rsidRDefault="00D513BF" w:rsidP="00A9474F">
      <w:pPr>
        <w:spacing w:after="0" w:line="240" w:lineRule="auto"/>
      </w:pPr>
      <w:r>
        <w:separator/>
      </w:r>
    </w:p>
  </w:endnote>
  <w:endnote w:type="continuationSeparator" w:id="0">
    <w:p w:rsidR="00D513BF" w:rsidRDefault="00D513BF" w:rsidP="00A947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10871"/>
      <w:docPartObj>
        <w:docPartGallery w:val="Page Numbers (Bottom of Page)"/>
        <w:docPartUnique/>
      </w:docPartObj>
    </w:sdtPr>
    <w:sdtContent>
      <w:p w:rsidR="00AE54F8" w:rsidRDefault="000E5CCE">
        <w:pPr>
          <w:pStyle w:val="a5"/>
          <w:jc w:val="right"/>
        </w:pPr>
        <w:fldSimple w:instr=" PAGE   \* MERGEFORMAT ">
          <w:r w:rsidR="00D95089">
            <w:rPr>
              <w:noProof/>
            </w:rPr>
            <w:t>1</w:t>
          </w:r>
        </w:fldSimple>
      </w:p>
    </w:sdtContent>
  </w:sdt>
  <w:p w:rsidR="00AE54F8" w:rsidRDefault="00AE54F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3BF" w:rsidRDefault="00D513BF" w:rsidP="00A9474F">
      <w:pPr>
        <w:spacing w:after="0" w:line="240" w:lineRule="auto"/>
      </w:pPr>
      <w:r>
        <w:separator/>
      </w:r>
    </w:p>
  </w:footnote>
  <w:footnote w:type="continuationSeparator" w:id="0">
    <w:p w:rsidR="00D513BF" w:rsidRDefault="00D513BF" w:rsidP="00A947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303BF"/>
    <w:multiLevelType w:val="hybridMultilevel"/>
    <w:tmpl w:val="E3C23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20630EA"/>
    <w:multiLevelType w:val="hybridMultilevel"/>
    <w:tmpl w:val="57B0724E"/>
    <w:lvl w:ilvl="0" w:tplc="D3F6FA4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9230C82"/>
    <w:multiLevelType w:val="hybridMultilevel"/>
    <w:tmpl w:val="1A70A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
    <w:nsid w:val="1A6713FC"/>
    <w:multiLevelType w:val="hybridMultilevel"/>
    <w:tmpl w:val="FE6E7752"/>
    <w:lvl w:ilvl="0" w:tplc="B7A60B7C">
      <w:numFmt w:val="bullet"/>
      <w:lvlText w:val="-"/>
      <w:lvlJc w:val="left"/>
      <w:pPr>
        <w:ind w:left="1080" w:hanging="360"/>
      </w:pPr>
      <w:rPr>
        <w:rFonts w:ascii="Calibri" w:eastAsia="Times New Roman"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1D4A5480"/>
    <w:multiLevelType w:val="hybridMultilevel"/>
    <w:tmpl w:val="D51C0FBE"/>
    <w:lvl w:ilvl="0" w:tplc="D3F6FA4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A3A25A4"/>
    <w:multiLevelType w:val="hybridMultilevel"/>
    <w:tmpl w:val="6E60F2D6"/>
    <w:lvl w:ilvl="0" w:tplc="1F80BFD8">
      <w:numFmt w:val="bullet"/>
      <w:lvlText w:val="-"/>
      <w:lvlJc w:val="left"/>
      <w:pPr>
        <w:ind w:left="465" w:hanging="360"/>
      </w:pPr>
      <w:rPr>
        <w:rFonts w:ascii="Calibri" w:eastAsiaTheme="minorHAnsi" w:hAnsi="Calibri" w:cs="Calibri" w:hint="default"/>
      </w:rPr>
    </w:lvl>
    <w:lvl w:ilvl="1" w:tplc="04080003" w:tentative="1">
      <w:start w:val="1"/>
      <w:numFmt w:val="bullet"/>
      <w:lvlText w:val="o"/>
      <w:lvlJc w:val="left"/>
      <w:pPr>
        <w:ind w:left="1185" w:hanging="360"/>
      </w:pPr>
      <w:rPr>
        <w:rFonts w:ascii="Courier New" w:hAnsi="Courier New" w:cs="Courier New" w:hint="default"/>
      </w:rPr>
    </w:lvl>
    <w:lvl w:ilvl="2" w:tplc="04080005" w:tentative="1">
      <w:start w:val="1"/>
      <w:numFmt w:val="bullet"/>
      <w:lvlText w:val=""/>
      <w:lvlJc w:val="left"/>
      <w:pPr>
        <w:ind w:left="1905" w:hanging="360"/>
      </w:pPr>
      <w:rPr>
        <w:rFonts w:ascii="Wingdings" w:hAnsi="Wingdings" w:hint="default"/>
      </w:rPr>
    </w:lvl>
    <w:lvl w:ilvl="3" w:tplc="04080001" w:tentative="1">
      <w:start w:val="1"/>
      <w:numFmt w:val="bullet"/>
      <w:lvlText w:val=""/>
      <w:lvlJc w:val="left"/>
      <w:pPr>
        <w:ind w:left="2625" w:hanging="360"/>
      </w:pPr>
      <w:rPr>
        <w:rFonts w:ascii="Symbol" w:hAnsi="Symbol" w:hint="default"/>
      </w:rPr>
    </w:lvl>
    <w:lvl w:ilvl="4" w:tplc="04080003" w:tentative="1">
      <w:start w:val="1"/>
      <w:numFmt w:val="bullet"/>
      <w:lvlText w:val="o"/>
      <w:lvlJc w:val="left"/>
      <w:pPr>
        <w:ind w:left="3345" w:hanging="360"/>
      </w:pPr>
      <w:rPr>
        <w:rFonts w:ascii="Courier New" w:hAnsi="Courier New" w:cs="Courier New" w:hint="default"/>
      </w:rPr>
    </w:lvl>
    <w:lvl w:ilvl="5" w:tplc="04080005" w:tentative="1">
      <w:start w:val="1"/>
      <w:numFmt w:val="bullet"/>
      <w:lvlText w:val=""/>
      <w:lvlJc w:val="left"/>
      <w:pPr>
        <w:ind w:left="4065" w:hanging="360"/>
      </w:pPr>
      <w:rPr>
        <w:rFonts w:ascii="Wingdings" w:hAnsi="Wingdings" w:hint="default"/>
      </w:rPr>
    </w:lvl>
    <w:lvl w:ilvl="6" w:tplc="04080001" w:tentative="1">
      <w:start w:val="1"/>
      <w:numFmt w:val="bullet"/>
      <w:lvlText w:val=""/>
      <w:lvlJc w:val="left"/>
      <w:pPr>
        <w:ind w:left="4785" w:hanging="360"/>
      </w:pPr>
      <w:rPr>
        <w:rFonts w:ascii="Symbol" w:hAnsi="Symbol" w:hint="default"/>
      </w:rPr>
    </w:lvl>
    <w:lvl w:ilvl="7" w:tplc="04080003" w:tentative="1">
      <w:start w:val="1"/>
      <w:numFmt w:val="bullet"/>
      <w:lvlText w:val="o"/>
      <w:lvlJc w:val="left"/>
      <w:pPr>
        <w:ind w:left="5505" w:hanging="360"/>
      </w:pPr>
      <w:rPr>
        <w:rFonts w:ascii="Courier New" w:hAnsi="Courier New" w:cs="Courier New" w:hint="default"/>
      </w:rPr>
    </w:lvl>
    <w:lvl w:ilvl="8" w:tplc="04080005" w:tentative="1">
      <w:start w:val="1"/>
      <w:numFmt w:val="bullet"/>
      <w:lvlText w:val=""/>
      <w:lvlJc w:val="left"/>
      <w:pPr>
        <w:ind w:left="6225" w:hanging="360"/>
      </w:pPr>
      <w:rPr>
        <w:rFonts w:ascii="Wingdings" w:hAnsi="Wingdings" w:hint="default"/>
      </w:rPr>
    </w:lvl>
  </w:abstractNum>
  <w:abstractNum w:abstractNumId="6">
    <w:nsid w:val="61414841"/>
    <w:multiLevelType w:val="hybridMultilevel"/>
    <w:tmpl w:val="5ADE8B5A"/>
    <w:lvl w:ilvl="0" w:tplc="1A520A4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4FA63C3"/>
    <w:multiLevelType w:val="hybridMultilevel"/>
    <w:tmpl w:val="DD7EC73E"/>
    <w:lvl w:ilvl="0" w:tplc="6002C10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7153CAF"/>
    <w:multiLevelType w:val="hybridMultilevel"/>
    <w:tmpl w:val="322E6776"/>
    <w:lvl w:ilvl="0" w:tplc="1A520A4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DA43DD4"/>
    <w:multiLevelType w:val="hybridMultilevel"/>
    <w:tmpl w:val="39EA58EE"/>
    <w:lvl w:ilvl="0" w:tplc="D3F6FA4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E456AD5"/>
    <w:multiLevelType w:val="hybridMultilevel"/>
    <w:tmpl w:val="84FC18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0"/>
  </w:num>
  <w:num w:numId="5">
    <w:abstractNumId w:val="8"/>
  </w:num>
  <w:num w:numId="6">
    <w:abstractNumId w:val="6"/>
  </w:num>
  <w:num w:numId="7">
    <w:abstractNumId w:val="4"/>
  </w:num>
  <w:num w:numId="8">
    <w:abstractNumId w:val="9"/>
  </w:num>
  <w:num w:numId="9">
    <w:abstractNumId w:val="1"/>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34C36"/>
    <w:rsid w:val="0005563D"/>
    <w:rsid w:val="0006531B"/>
    <w:rsid w:val="00081F88"/>
    <w:rsid w:val="000926E5"/>
    <w:rsid w:val="0009566A"/>
    <w:rsid w:val="000B65E1"/>
    <w:rsid w:val="000C4432"/>
    <w:rsid w:val="000C74C0"/>
    <w:rsid w:val="000E5CCE"/>
    <w:rsid w:val="00101698"/>
    <w:rsid w:val="00150CF0"/>
    <w:rsid w:val="00153458"/>
    <w:rsid w:val="00157B5C"/>
    <w:rsid w:val="001E5246"/>
    <w:rsid w:val="002071DC"/>
    <w:rsid w:val="00217243"/>
    <w:rsid w:val="00237530"/>
    <w:rsid w:val="0024002B"/>
    <w:rsid w:val="00266BD1"/>
    <w:rsid w:val="00282C54"/>
    <w:rsid w:val="00282CD7"/>
    <w:rsid w:val="002C1DE3"/>
    <w:rsid w:val="002D2C98"/>
    <w:rsid w:val="00302D27"/>
    <w:rsid w:val="003031ED"/>
    <w:rsid w:val="003031FA"/>
    <w:rsid w:val="003065B8"/>
    <w:rsid w:val="003155F1"/>
    <w:rsid w:val="00371F57"/>
    <w:rsid w:val="00376BC2"/>
    <w:rsid w:val="00387DE3"/>
    <w:rsid w:val="003B0C2F"/>
    <w:rsid w:val="003B3980"/>
    <w:rsid w:val="003D11D8"/>
    <w:rsid w:val="003D57C8"/>
    <w:rsid w:val="003E11C0"/>
    <w:rsid w:val="003E4C6E"/>
    <w:rsid w:val="003F7ADB"/>
    <w:rsid w:val="00437B40"/>
    <w:rsid w:val="00460C29"/>
    <w:rsid w:val="004A25FC"/>
    <w:rsid w:val="004A6A5A"/>
    <w:rsid w:val="004F1528"/>
    <w:rsid w:val="00501639"/>
    <w:rsid w:val="00542A01"/>
    <w:rsid w:val="0058539C"/>
    <w:rsid w:val="005C3CC8"/>
    <w:rsid w:val="005C54A1"/>
    <w:rsid w:val="005E0713"/>
    <w:rsid w:val="005E660C"/>
    <w:rsid w:val="005F4595"/>
    <w:rsid w:val="00600221"/>
    <w:rsid w:val="00657D15"/>
    <w:rsid w:val="00657DC0"/>
    <w:rsid w:val="00676F45"/>
    <w:rsid w:val="006E2416"/>
    <w:rsid w:val="00705DB7"/>
    <w:rsid w:val="0072077C"/>
    <w:rsid w:val="00735EA7"/>
    <w:rsid w:val="00764AF7"/>
    <w:rsid w:val="007715EE"/>
    <w:rsid w:val="00782494"/>
    <w:rsid w:val="007B0F77"/>
    <w:rsid w:val="007C001D"/>
    <w:rsid w:val="008056B5"/>
    <w:rsid w:val="0081069C"/>
    <w:rsid w:val="00842BBD"/>
    <w:rsid w:val="00867681"/>
    <w:rsid w:val="00876848"/>
    <w:rsid w:val="0089077D"/>
    <w:rsid w:val="0089636B"/>
    <w:rsid w:val="008A1B85"/>
    <w:rsid w:val="008D4EBB"/>
    <w:rsid w:val="0090038E"/>
    <w:rsid w:val="00934C36"/>
    <w:rsid w:val="00960A70"/>
    <w:rsid w:val="00996215"/>
    <w:rsid w:val="009B7D1A"/>
    <w:rsid w:val="009E0A2A"/>
    <w:rsid w:val="00A032C6"/>
    <w:rsid w:val="00A11304"/>
    <w:rsid w:val="00A451D0"/>
    <w:rsid w:val="00A72606"/>
    <w:rsid w:val="00A85422"/>
    <w:rsid w:val="00A9303E"/>
    <w:rsid w:val="00A9474F"/>
    <w:rsid w:val="00AB1503"/>
    <w:rsid w:val="00AC781B"/>
    <w:rsid w:val="00AE1AD7"/>
    <w:rsid w:val="00AE54F8"/>
    <w:rsid w:val="00B31422"/>
    <w:rsid w:val="00B56A57"/>
    <w:rsid w:val="00B67992"/>
    <w:rsid w:val="00B8042C"/>
    <w:rsid w:val="00BB0360"/>
    <w:rsid w:val="00BD0B25"/>
    <w:rsid w:val="00BE0F85"/>
    <w:rsid w:val="00BF675B"/>
    <w:rsid w:val="00C0268F"/>
    <w:rsid w:val="00C77620"/>
    <w:rsid w:val="00CA2EEE"/>
    <w:rsid w:val="00D42254"/>
    <w:rsid w:val="00D43E03"/>
    <w:rsid w:val="00D513BF"/>
    <w:rsid w:val="00D52168"/>
    <w:rsid w:val="00D55E2B"/>
    <w:rsid w:val="00D7037F"/>
    <w:rsid w:val="00D827C1"/>
    <w:rsid w:val="00D95089"/>
    <w:rsid w:val="00DD0418"/>
    <w:rsid w:val="00DE1B4F"/>
    <w:rsid w:val="00DE36C6"/>
    <w:rsid w:val="00DF2329"/>
    <w:rsid w:val="00E06D88"/>
    <w:rsid w:val="00E10A0A"/>
    <w:rsid w:val="00E22BC9"/>
    <w:rsid w:val="00E60082"/>
    <w:rsid w:val="00E600C5"/>
    <w:rsid w:val="00E649EC"/>
    <w:rsid w:val="00EE567C"/>
    <w:rsid w:val="00EE6BD5"/>
    <w:rsid w:val="00EF184C"/>
    <w:rsid w:val="00EF2B6D"/>
    <w:rsid w:val="00EF302C"/>
    <w:rsid w:val="00EF4E5A"/>
    <w:rsid w:val="00F11B7D"/>
    <w:rsid w:val="00F444FC"/>
    <w:rsid w:val="00F52082"/>
    <w:rsid w:val="00F64D19"/>
    <w:rsid w:val="00F9694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E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4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A9474F"/>
    <w:pPr>
      <w:tabs>
        <w:tab w:val="center" w:pos="4153"/>
        <w:tab w:val="right" w:pos="8306"/>
      </w:tabs>
      <w:spacing w:after="0" w:line="240" w:lineRule="auto"/>
    </w:pPr>
  </w:style>
  <w:style w:type="character" w:customStyle="1" w:styleId="Char">
    <w:name w:val="Κεφαλίδα Char"/>
    <w:basedOn w:val="a0"/>
    <w:link w:val="a4"/>
    <w:uiPriority w:val="99"/>
    <w:semiHidden/>
    <w:rsid w:val="00A9474F"/>
  </w:style>
  <w:style w:type="paragraph" w:styleId="a5">
    <w:name w:val="footer"/>
    <w:basedOn w:val="a"/>
    <w:link w:val="Char0"/>
    <w:uiPriority w:val="99"/>
    <w:unhideWhenUsed/>
    <w:rsid w:val="00A9474F"/>
    <w:pPr>
      <w:tabs>
        <w:tab w:val="center" w:pos="4153"/>
        <w:tab w:val="right" w:pos="8306"/>
      </w:tabs>
      <w:spacing w:after="0" w:line="240" w:lineRule="auto"/>
    </w:pPr>
  </w:style>
  <w:style w:type="character" w:customStyle="1" w:styleId="Char0">
    <w:name w:val="Υποσέλιδο Char"/>
    <w:basedOn w:val="a0"/>
    <w:link w:val="a5"/>
    <w:uiPriority w:val="99"/>
    <w:rsid w:val="00A9474F"/>
  </w:style>
  <w:style w:type="paragraph" w:styleId="a6">
    <w:name w:val="List Paragraph"/>
    <w:basedOn w:val="a"/>
    <w:uiPriority w:val="34"/>
    <w:qFormat/>
    <w:rsid w:val="00BD0B25"/>
    <w:pPr>
      <w:ind w:left="720"/>
      <w:contextualSpacing/>
    </w:pPr>
  </w:style>
  <w:style w:type="character" w:styleId="a7">
    <w:name w:val="Emphasis"/>
    <w:basedOn w:val="a0"/>
    <w:uiPriority w:val="99"/>
    <w:qFormat/>
    <w:rsid w:val="005C54A1"/>
    <w:rPr>
      <w:i/>
      <w:iCs/>
    </w:rPr>
  </w:style>
  <w:style w:type="paragraph" w:styleId="a8">
    <w:name w:val="Body Text"/>
    <w:basedOn w:val="a"/>
    <w:link w:val="Char1"/>
    <w:rsid w:val="005C54A1"/>
    <w:pPr>
      <w:spacing w:after="0" w:line="240" w:lineRule="auto"/>
      <w:jc w:val="both"/>
    </w:pPr>
    <w:rPr>
      <w:rFonts w:ascii="Times New Roman" w:eastAsia="Times New Roman" w:hAnsi="Times New Roman" w:cs="Times New Roman"/>
      <w:sz w:val="26"/>
      <w:szCs w:val="24"/>
      <w:lang w:eastAsia="el-GR"/>
    </w:rPr>
  </w:style>
  <w:style w:type="character" w:customStyle="1" w:styleId="Char1">
    <w:name w:val="Σώμα κειμένου Char"/>
    <w:basedOn w:val="a0"/>
    <w:link w:val="a8"/>
    <w:rsid w:val="005C54A1"/>
    <w:rPr>
      <w:rFonts w:ascii="Times New Roman" w:eastAsia="Times New Roman" w:hAnsi="Times New Roman" w:cs="Times New Roman"/>
      <w:sz w:val="26"/>
      <w:szCs w:val="24"/>
      <w:lang w:eastAsia="el-GR"/>
    </w:rPr>
  </w:style>
  <w:style w:type="paragraph" w:customStyle="1" w:styleId="Default">
    <w:name w:val="Default"/>
    <w:rsid w:val="00A72606"/>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Char2"/>
    <w:uiPriority w:val="99"/>
    <w:semiHidden/>
    <w:unhideWhenUsed/>
    <w:rsid w:val="00D95089"/>
    <w:pPr>
      <w:spacing w:after="0" w:line="240" w:lineRule="auto"/>
    </w:pPr>
    <w:rPr>
      <w:rFonts w:ascii="Tahoma" w:hAnsi="Tahoma" w:cs="Tahoma"/>
      <w:sz w:val="16"/>
      <w:szCs w:val="16"/>
    </w:rPr>
  </w:style>
  <w:style w:type="character" w:customStyle="1" w:styleId="Char2">
    <w:name w:val="Κείμενο πλαισίου Char"/>
    <w:basedOn w:val="a0"/>
    <w:link w:val="a9"/>
    <w:uiPriority w:val="99"/>
    <w:semiHidden/>
    <w:rsid w:val="00D950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1DF09-7F91-4F26-97EB-2C87482B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11</Pages>
  <Words>2903</Words>
  <Characters>15680</Characters>
  <Application>Microsoft Office Word</Application>
  <DocSecurity>0</DocSecurity>
  <Lines>130</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nikgeo</dc:creator>
  <cp:lastModifiedBy>mfondrie</cp:lastModifiedBy>
  <cp:revision>29</cp:revision>
  <cp:lastPrinted>2015-03-06T09:09:00Z</cp:lastPrinted>
  <dcterms:created xsi:type="dcterms:W3CDTF">2015-03-03T09:25:00Z</dcterms:created>
  <dcterms:modified xsi:type="dcterms:W3CDTF">2015-03-09T08:39:00Z</dcterms:modified>
</cp:coreProperties>
</file>