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D6" w:rsidRDefault="00091ED6" w:rsidP="00DE2E55">
      <w:pPr>
        <w:jc w:val="center"/>
        <w:rPr>
          <w:b/>
          <w:i/>
          <w:sz w:val="26"/>
          <w:szCs w:val="26"/>
          <w:u w:val="single"/>
        </w:rPr>
      </w:pPr>
      <w:r w:rsidRPr="00091ED6">
        <w:rPr>
          <w:i/>
          <w:noProof/>
          <w:sz w:val="20"/>
          <w:szCs w:val="20"/>
          <w:lang w:eastAsia="el-GR"/>
        </w:rPr>
        <w:drawing>
          <wp:inline distT="0" distB="0" distL="0" distR="0">
            <wp:extent cx="5273424" cy="595423"/>
            <wp:effectExtent l="19050" t="0" r="3426" b="0"/>
            <wp:docPr id="2" name="Εικόνα 1" descr="INEMY_logo_TELIK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MY_logo_TELIKO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D6" w:rsidRPr="00091ED6" w:rsidRDefault="00091ED6" w:rsidP="00091ED6">
      <w:pPr>
        <w:jc w:val="center"/>
        <w:rPr>
          <w:sz w:val="24"/>
          <w:szCs w:val="24"/>
        </w:rPr>
      </w:pPr>
      <w:r w:rsidRPr="00091ED6">
        <w:rPr>
          <w:sz w:val="24"/>
          <w:szCs w:val="24"/>
        </w:rPr>
        <w:t>ΠΕΤΡΑΚΗ 8  Τ.Κ. 105 63 - ΑΘΗΝΑ  ΤΗΛ: 210.32.59.170 – FAX: 210.32.59.169</w:t>
      </w:r>
    </w:p>
    <w:p w:rsidR="00091ED6" w:rsidRPr="00F342D4" w:rsidRDefault="00091ED6" w:rsidP="00091ED6">
      <w:pPr>
        <w:jc w:val="center"/>
        <w:rPr>
          <w:b/>
          <w:sz w:val="28"/>
          <w:szCs w:val="28"/>
        </w:rPr>
      </w:pPr>
      <w:r w:rsidRPr="00FD0830">
        <w:rPr>
          <w:b/>
          <w:sz w:val="28"/>
          <w:szCs w:val="28"/>
        </w:rPr>
        <w:t>Ενημερωτικό Σημείωμα</w:t>
      </w:r>
      <w:r w:rsidRPr="00F342D4">
        <w:rPr>
          <w:b/>
          <w:sz w:val="28"/>
          <w:szCs w:val="28"/>
        </w:rPr>
        <w:t xml:space="preserve"> </w:t>
      </w:r>
    </w:p>
    <w:p w:rsidR="00DE2E55" w:rsidRDefault="00091ED6" w:rsidP="00DE2E55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ΘΕΜΑ</w:t>
      </w:r>
      <w:r w:rsidRPr="00091ED6">
        <w:rPr>
          <w:b/>
          <w:i/>
          <w:sz w:val="26"/>
          <w:szCs w:val="26"/>
        </w:rPr>
        <w:t xml:space="preserve">: </w:t>
      </w:r>
      <w:r w:rsidR="00DE2E55" w:rsidRPr="00091ED6">
        <w:rPr>
          <w:i/>
          <w:sz w:val="26"/>
          <w:szCs w:val="26"/>
        </w:rPr>
        <w:t>Συνοπτική απεικόνιση της υφιστάμενης κατάστασης στον ΟΑΕΕ</w:t>
      </w:r>
      <w:r w:rsidR="00DE2E55">
        <w:rPr>
          <w:b/>
          <w:i/>
          <w:sz w:val="26"/>
          <w:szCs w:val="26"/>
          <w:u w:val="single"/>
        </w:rPr>
        <w:t xml:space="preserve"> </w:t>
      </w:r>
    </w:p>
    <w:tbl>
      <w:tblPr>
        <w:tblStyle w:val="a3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204C71" w:rsidTr="00204C71">
        <w:trPr>
          <w:trHeight w:val="295"/>
        </w:trPr>
        <w:tc>
          <w:tcPr>
            <w:tcW w:w="8522" w:type="dxa"/>
            <w:gridSpan w:val="4"/>
            <w:tcBorders>
              <w:top w:val="threeDEngrave" w:sz="2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204C71" w:rsidRDefault="00204C71" w:rsidP="00F31CB3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Πίνακας 1</w:t>
            </w:r>
          </w:p>
          <w:p w:rsidR="00FD5E28" w:rsidRPr="00FD5E28" w:rsidRDefault="00FD5E28" w:rsidP="00FD5E28">
            <w:pPr>
              <w:tabs>
                <w:tab w:val="left" w:pos="1185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 w:rsidRPr="00FD5E28">
              <w:rPr>
                <w:i/>
                <w:sz w:val="20"/>
                <w:szCs w:val="20"/>
                <w:lang w:val="en-US"/>
              </w:rPr>
              <w:t>(</w:t>
            </w:r>
            <w:r w:rsidRPr="00FD5E28">
              <w:rPr>
                <w:i/>
                <w:sz w:val="20"/>
                <w:szCs w:val="20"/>
              </w:rPr>
              <w:t>Οκτώβριος</w:t>
            </w:r>
            <w:r w:rsidRPr="00FD5E28">
              <w:rPr>
                <w:i/>
                <w:sz w:val="20"/>
                <w:szCs w:val="20"/>
                <w:lang w:val="en-US"/>
              </w:rPr>
              <w:t xml:space="preserve"> 2015)</w:t>
            </w:r>
          </w:p>
        </w:tc>
      </w:tr>
      <w:tr w:rsidR="00217D84" w:rsidTr="00071D79">
        <w:trPr>
          <w:trHeight w:val="682"/>
        </w:trPr>
        <w:tc>
          <w:tcPr>
            <w:tcW w:w="2130" w:type="dxa"/>
            <w:tcBorders>
              <w:top w:val="threeDEngrave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17D84" w:rsidRDefault="00217D84" w:rsidP="00007412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217D84" w:rsidRPr="00F31CB3" w:rsidRDefault="00217D84" w:rsidP="00F31CB3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F31CB3">
              <w:rPr>
                <w:b/>
                <w:sz w:val="24"/>
                <w:szCs w:val="24"/>
              </w:rPr>
              <w:t>Νέοι Ασφαλισμένοι</w:t>
            </w:r>
          </w:p>
        </w:tc>
        <w:tc>
          <w:tcPr>
            <w:tcW w:w="2131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217D84" w:rsidRPr="00F31CB3" w:rsidRDefault="00217D84" w:rsidP="00F31CB3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F31CB3">
              <w:rPr>
                <w:b/>
                <w:sz w:val="24"/>
                <w:szCs w:val="24"/>
              </w:rPr>
              <w:t>Παλαιοί Ασφαλισμένοι</w:t>
            </w:r>
          </w:p>
        </w:tc>
        <w:tc>
          <w:tcPr>
            <w:tcW w:w="2131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217D84" w:rsidRPr="00F31CB3" w:rsidRDefault="00091ED6" w:rsidP="00F31CB3">
            <w:pPr>
              <w:tabs>
                <w:tab w:val="left" w:pos="1185"/>
              </w:tabs>
              <w:jc w:val="center"/>
              <w:rPr>
                <w:b/>
                <w:sz w:val="26"/>
                <w:szCs w:val="26"/>
              </w:rPr>
            </w:pPr>
            <w:r w:rsidRPr="00F31CB3">
              <w:rPr>
                <w:b/>
                <w:sz w:val="24"/>
                <w:szCs w:val="24"/>
              </w:rPr>
              <w:t>Σύνολο Ασφαλισμένων</w:t>
            </w:r>
          </w:p>
        </w:tc>
      </w:tr>
      <w:tr w:rsidR="00217D84" w:rsidTr="00071D79">
        <w:trPr>
          <w:trHeight w:val="716"/>
        </w:trPr>
        <w:tc>
          <w:tcPr>
            <w:tcW w:w="21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217D84" w:rsidRPr="00F31CB3" w:rsidRDefault="00217D84" w:rsidP="00217D84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  <w:r w:rsidRPr="00F31CB3">
              <w:rPr>
                <w:b/>
                <w:sz w:val="24"/>
                <w:szCs w:val="24"/>
              </w:rPr>
              <w:t>Σύνολο Ενεργών Ασφαλισμένων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7D84" w:rsidRPr="00007412" w:rsidRDefault="00217D84" w:rsidP="00847497">
            <w:pPr>
              <w:tabs>
                <w:tab w:val="left" w:pos="1185"/>
              </w:tabs>
              <w:jc w:val="center"/>
            </w:pPr>
            <w:r w:rsidRPr="00007412">
              <w:t>396.587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7D84" w:rsidRPr="00007412" w:rsidRDefault="00217D84" w:rsidP="00847497">
            <w:pPr>
              <w:tabs>
                <w:tab w:val="left" w:pos="1185"/>
              </w:tabs>
              <w:jc w:val="center"/>
            </w:pPr>
            <w:r w:rsidRPr="00007412">
              <w:t>321.303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7D84" w:rsidRDefault="00217D84" w:rsidP="00847497">
            <w:pPr>
              <w:tabs>
                <w:tab w:val="left" w:pos="1185"/>
              </w:tabs>
              <w:jc w:val="center"/>
              <w:rPr>
                <w:sz w:val="26"/>
                <w:szCs w:val="26"/>
              </w:rPr>
            </w:pPr>
            <w:r w:rsidRPr="00655B93">
              <w:t>717.890</w:t>
            </w:r>
          </w:p>
        </w:tc>
      </w:tr>
      <w:tr w:rsidR="00217D84" w:rsidTr="00C56DF7">
        <w:trPr>
          <w:trHeight w:val="1381"/>
        </w:trPr>
        <w:tc>
          <w:tcPr>
            <w:tcW w:w="2130" w:type="dxa"/>
            <w:tcBorders>
              <w:top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217D84" w:rsidRPr="00F31CB3" w:rsidRDefault="00217D84" w:rsidP="00217D84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  <w:r w:rsidRPr="00F31CB3">
              <w:rPr>
                <w:b/>
                <w:sz w:val="24"/>
                <w:szCs w:val="24"/>
              </w:rPr>
              <w:t>Κατηγορίες με τους περισσότερους ενεργούς ασφαλισμένους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17D84" w:rsidRPr="00007412" w:rsidRDefault="00217D84" w:rsidP="00847497">
            <w:pPr>
              <w:tabs>
                <w:tab w:val="left" w:pos="1185"/>
              </w:tabs>
              <w:jc w:val="center"/>
            </w:pPr>
            <w:r>
              <w:t xml:space="preserve">  1</w:t>
            </w:r>
            <w:r w:rsidRPr="00007412">
              <w:rPr>
                <w:vertAlign w:val="superscript"/>
              </w:rPr>
              <w:t>η</w:t>
            </w:r>
            <w:r w:rsidRPr="00007412">
              <w:t xml:space="preserve"> : 171.811</w:t>
            </w:r>
          </w:p>
          <w:p w:rsidR="00217D84" w:rsidRPr="00007412" w:rsidRDefault="00217D84" w:rsidP="00847497">
            <w:pPr>
              <w:tabs>
                <w:tab w:val="left" w:pos="1185"/>
              </w:tabs>
              <w:jc w:val="center"/>
            </w:pPr>
            <w:r w:rsidRPr="00007412">
              <w:t>2</w:t>
            </w:r>
            <w:r w:rsidRPr="00007412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</w:t>
            </w:r>
            <w:r w:rsidRPr="00007412">
              <w:t xml:space="preserve"> 74.394</w:t>
            </w:r>
          </w:p>
          <w:p w:rsidR="00217D84" w:rsidRPr="00007412" w:rsidRDefault="00217D84" w:rsidP="00847497">
            <w:pPr>
              <w:tabs>
                <w:tab w:val="left" w:pos="1185"/>
              </w:tabs>
              <w:jc w:val="center"/>
            </w:pPr>
            <w:r w:rsidRPr="00007412">
              <w:t>3</w:t>
            </w:r>
            <w:r w:rsidRPr="00007412">
              <w:rPr>
                <w:vertAlign w:val="superscript"/>
              </w:rPr>
              <w:t>η</w:t>
            </w:r>
            <w:r w:rsidRPr="00007412">
              <w:t xml:space="preserve">: </w:t>
            </w:r>
            <w:r>
              <w:t xml:space="preserve">  </w:t>
            </w:r>
            <w:r w:rsidRPr="00007412">
              <w:t>73.018</w:t>
            </w:r>
          </w:p>
          <w:p w:rsidR="00217D84" w:rsidRDefault="00217D84" w:rsidP="00F31CB3">
            <w:pPr>
              <w:tabs>
                <w:tab w:val="left" w:pos="1185"/>
              </w:tabs>
              <w:jc w:val="center"/>
              <w:rPr>
                <w:sz w:val="26"/>
                <w:szCs w:val="26"/>
              </w:rPr>
            </w:pPr>
            <w:r w:rsidRPr="00007412">
              <w:t>4</w:t>
            </w:r>
            <w:r w:rsidRPr="00007412">
              <w:rPr>
                <w:vertAlign w:val="superscript"/>
              </w:rPr>
              <w:t>η</w:t>
            </w:r>
            <w:r w:rsidRPr="00007412">
              <w:t>:</w:t>
            </w:r>
            <w:r w:rsidR="00F31CB3">
              <w:rPr>
                <w:lang w:val="en-US"/>
              </w:rPr>
              <w:t xml:space="preserve"> </w:t>
            </w:r>
            <w:r w:rsidRPr="00007412">
              <w:t xml:space="preserve"> </w:t>
            </w:r>
            <w:r>
              <w:t xml:space="preserve"> </w:t>
            </w:r>
            <w:r w:rsidRPr="00007412">
              <w:t>31.585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17D84" w:rsidRPr="00007412" w:rsidRDefault="00217D84" w:rsidP="00847497">
            <w:pPr>
              <w:tabs>
                <w:tab w:val="left" w:pos="1185"/>
              </w:tabs>
              <w:jc w:val="center"/>
            </w:pPr>
            <w:r w:rsidRPr="00007412">
              <w:t>7</w:t>
            </w:r>
            <w:r w:rsidRPr="00007412">
              <w:rPr>
                <w:vertAlign w:val="superscript"/>
              </w:rPr>
              <w:t>η</w:t>
            </w:r>
            <w:r w:rsidRPr="00007412">
              <w:t xml:space="preserve"> : </w:t>
            </w:r>
            <w:r>
              <w:t xml:space="preserve"> 89</w:t>
            </w:r>
            <w:r w:rsidRPr="00007412">
              <w:t>.</w:t>
            </w:r>
            <w:r>
              <w:t>192</w:t>
            </w:r>
          </w:p>
          <w:p w:rsidR="00217D84" w:rsidRPr="00007412" w:rsidRDefault="00217D84" w:rsidP="00847497">
            <w:pPr>
              <w:tabs>
                <w:tab w:val="left" w:pos="1185"/>
              </w:tabs>
              <w:jc w:val="center"/>
            </w:pPr>
            <w:r>
              <w:t>4</w:t>
            </w:r>
            <w:r w:rsidRPr="00007412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</w:t>
            </w:r>
            <w:r w:rsidRPr="00007412">
              <w:t xml:space="preserve"> </w:t>
            </w:r>
            <w:r>
              <w:t>58</w:t>
            </w:r>
            <w:r w:rsidRPr="00007412">
              <w:t>.</w:t>
            </w:r>
            <w:r>
              <w:t>168</w:t>
            </w:r>
          </w:p>
          <w:p w:rsidR="00217D84" w:rsidRPr="00007412" w:rsidRDefault="00217D84" w:rsidP="00847497">
            <w:pPr>
              <w:tabs>
                <w:tab w:val="left" w:pos="1185"/>
              </w:tabs>
              <w:jc w:val="center"/>
            </w:pPr>
            <w:r>
              <w:t>1</w:t>
            </w:r>
            <w:r w:rsidRPr="00007412">
              <w:rPr>
                <w:vertAlign w:val="superscript"/>
              </w:rPr>
              <w:t>η</w:t>
            </w:r>
            <w:r w:rsidRPr="00007412">
              <w:t xml:space="preserve">: </w:t>
            </w:r>
            <w:r>
              <w:t xml:space="preserve">  42</w:t>
            </w:r>
            <w:r w:rsidRPr="00007412">
              <w:t>.</w:t>
            </w:r>
            <w:r>
              <w:t>576</w:t>
            </w:r>
          </w:p>
          <w:p w:rsidR="00217D84" w:rsidRDefault="00217D84" w:rsidP="00847497">
            <w:pPr>
              <w:tabs>
                <w:tab w:val="left" w:pos="1185"/>
              </w:tabs>
              <w:jc w:val="center"/>
            </w:pPr>
            <w:r>
              <w:t>5</w:t>
            </w:r>
            <w:r w:rsidRPr="00007412">
              <w:rPr>
                <w:vertAlign w:val="superscript"/>
              </w:rPr>
              <w:t>η</w:t>
            </w:r>
            <w:r w:rsidRPr="00007412">
              <w:t xml:space="preserve">: </w:t>
            </w:r>
            <w:r>
              <w:t xml:space="preserve">  </w:t>
            </w:r>
            <w:r w:rsidRPr="00007412">
              <w:t>3</w:t>
            </w:r>
            <w:r>
              <w:t>5</w:t>
            </w:r>
            <w:r w:rsidRPr="00007412">
              <w:t>.</w:t>
            </w:r>
            <w:r>
              <w:t>681</w:t>
            </w:r>
          </w:p>
          <w:p w:rsidR="00217D84" w:rsidRDefault="00217D84" w:rsidP="00847497">
            <w:pPr>
              <w:tabs>
                <w:tab w:val="left" w:pos="1185"/>
              </w:tabs>
              <w:jc w:val="center"/>
              <w:rPr>
                <w:sz w:val="26"/>
                <w:szCs w:val="26"/>
              </w:rPr>
            </w:pPr>
            <w:r>
              <w:t>3</w:t>
            </w:r>
            <w:r w:rsidRPr="00655B93">
              <w:rPr>
                <w:vertAlign w:val="superscript"/>
              </w:rPr>
              <w:t>η</w:t>
            </w:r>
            <w:r>
              <w:t>:   31.521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</w:tcBorders>
            <w:shd w:val="pct25" w:color="auto" w:fill="auto"/>
          </w:tcPr>
          <w:p w:rsidR="00217D84" w:rsidRDefault="00217D84" w:rsidP="00007412">
            <w:pPr>
              <w:rPr>
                <w:sz w:val="26"/>
                <w:szCs w:val="26"/>
              </w:rPr>
            </w:pPr>
          </w:p>
        </w:tc>
      </w:tr>
    </w:tbl>
    <w:p w:rsidR="00C56DF7" w:rsidRDefault="00C56DF7" w:rsidP="00007412">
      <w:pPr>
        <w:rPr>
          <w:sz w:val="26"/>
          <w:szCs w:val="26"/>
        </w:rPr>
      </w:pPr>
    </w:p>
    <w:tbl>
      <w:tblPr>
        <w:tblStyle w:val="a3"/>
        <w:tblW w:w="8506" w:type="dxa"/>
        <w:tblInd w:w="-34" w:type="dxa"/>
        <w:tblLook w:val="04A0"/>
      </w:tblPr>
      <w:tblGrid>
        <w:gridCol w:w="2410"/>
        <w:gridCol w:w="2837"/>
        <w:gridCol w:w="3259"/>
      </w:tblGrid>
      <w:tr w:rsidR="00204C71" w:rsidTr="00204C71">
        <w:trPr>
          <w:trHeight w:val="114"/>
        </w:trPr>
        <w:tc>
          <w:tcPr>
            <w:tcW w:w="8506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BFBFBF" w:themeFill="background1" w:themeFillShade="BF"/>
            <w:vAlign w:val="center"/>
          </w:tcPr>
          <w:p w:rsidR="00204C71" w:rsidRDefault="00204C71" w:rsidP="00C56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Πίνακας 2*</w:t>
            </w:r>
          </w:p>
          <w:p w:rsidR="00FD5E28" w:rsidRDefault="00FD5E28" w:rsidP="00C56DF7">
            <w:pPr>
              <w:jc w:val="center"/>
              <w:rPr>
                <w:b/>
                <w:sz w:val="24"/>
                <w:szCs w:val="24"/>
              </w:rPr>
            </w:pPr>
            <w:r w:rsidRPr="00FD5E28">
              <w:rPr>
                <w:i/>
                <w:sz w:val="20"/>
                <w:szCs w:val="20"/>
                <w:lang w:val="en-US"/>
              </w:rPr>
              <w:t>(</w:t>
            </w:r>
            <w:r w:rsidRPr="00FD5E28">
              <w:rPr>
                <w:i/>
                <w:sz w:val="20"/>
                <w:szCs w:val="20"/>
              </w:rPr>
              <w:t>Οκτώβριος</w:t>
            </w:r>
            <w:r w:rsidRPr="00FD5E28">
              <w:rPr>
                <w:i/>
                <w:sz w:val="20"/>
                <w:szCs w:val="20"/>
                <w:lang w:val="en-US"/>
              </w:rPr>
              <w:t xml:space="preserve"> 2015)</w:t>
            </w:r>
          </w:p>
        </w:tc>
      </w:tr>
      <w:tr w:rsidR="002346D8" w:rsidTr="00C56DF7">
        <w:trPr>
          <w:trHeight w:val="249"/>
        </w:trPr>
        <w:tc>
          <w:tcPr>
            <w:tcW w:w="2410" w:type="dxa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2346D8" w:rsidRPr="002346D8" w:rsidRDefault="002346D8" w:rsidP="00317311">
            <w:pPr>
              <w:rPr>
                <w:b/>
                <w:sz w:val="26"/>
                <w:szCs w:val="26"/>
              </w:rPr>
            </w:pPr>
            <w:r w:rsidRPr="002346D8">
              <w:rPr>
                <w:b/>
                <w:sz w:val="24"/>
                <w:szCs w:val="24"/>
              </w:rPr>
              <w:t>Κλιμάκια οφειλών</w:t>
            </w:r>
          </w:p>
        </w:tc>
        <w:tc>
          <w:tcPr>
            <w:tcW w:w="2837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2346D8" w:rsidRPr="00EA7A56" w:rsidRDefault="002346D8" w:rsidP="00EA7A56">
            <w:pPr>
              <w:jc w:val="center"/>
              <w:rPr>
                <w:b/>
                <w:sz w:val="24"/>
                <w:szCs w:val="24"/>
              </w:rPr>
            </w:pPr>
            <w:r w:rsidRPr="00EA7A56">
              <w:rPr>
                <w:b/>
                <w:sz w:val="24"/>
                <w:szCs w:val="24"/>
              </w:rPr>
              <w:t>Αριθμός οφειλετών</w:t>
            </w:r>
          </w:p>
        </w:tc>
        <w:tc>
          <w:tcPr>
            <w:tcW w:w="3259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B8CCE4" w:themeFill="accent1" w:themeFillTint="66"/>
            <w:vAlign w:val="center"/>
          </w:tcPr>
          <w:p w:rsidR="002346D8" w:rsidRPr="00EA7A56" w:rsidRDefault="00C56DF7" w:rsidP="00C56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Σύνολο οφειλόμενων</w:t>
            </w:r>
            <w:r w:rsidR="002346D8" w:rsidRPr="00EA7A56">
              <w:rPr>
                <w:b/>
                <w:sz w:val="24"/>
                <w:szCs w:val="24"/>
              </w:rPr>
              <w:t xml:space="preserve"> ποσών</w:t>
            </w:r>
          </w:p>
        </w:tc>
      </w:tr>
      <w:tr w:rsidR="002346D8" w:rsidTr="00686A2B">
        <w:trPr>
          <w:trHeight w:val="279"/>
        </w:trPr>
        <w:tc>
          <w:tcPr>
            <w:tcW w:w="2410" w:type="dxa"/>
            <w:tcBorders>
              <w:top w:val="double" w:sz="4" w:space="0" w:color="auto"/>
              <w:left w:val="threeDEngrave" w:sz="24" w:space="0" w:color="auto"/>
              <w:bottom w:val="nil"/>
              <w:right w:val="double" w:sz="4" w:space="0" w:color="auto"/>
            </w:tcBorders>
            <w:vAlign w:val="center"/>
          </w:tcPr>
          <w:p w:rsidR="002346D8" w:rsidRPr="002346D8" w:rsidRDefault="002346D8" w:rsidP="002346D8">
            <w:pPr>
              <w:pStyle w:val="a4"/>
              <w:numPr>
                <w:ilvl w:val="0"/>
                <w:numId w:val="8"/>
              </w:numPr>
              <w:ind w:left="317" w:hanging="283"/>
            </w:pPr>
            <w:r w:rsidRPr="00317311">
              <w:t>έως 5.000 €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346D8" w:rsidRDefault="002346D8" w:rsidP="00786093">
            <w:pPr>
              <w:tabs>
                <w:tab w:val="left" w:pos="1185"/>
              </w:tabs>
              <w:jc w:val="center"/>
              <w:rPr>
                <w:sz w:val="26"/>
                <w:szCs w:val="26"/>
              </w:rPr>
            </w:pPr>
            <w:r>
              <w:t>95.869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nil"/>
              <w:right w:val="threeDEmboss" w:sz="24" w:space="0" w:color="auto"/>
            </w:tcBorders>
            <w:vAlign w:val="center"/>
          </w:tcPr>
          <w:p w:rsidR="002346D8" w:rsidRDefault="002346D8" w:rsidP="002346D8">
            <w:pPr>
              <w:tabs>
                <w:tab w:val="left" w:pos="223"/>
              </w:tabs>
              <w:jc w:val="center"/>
            </w:pPr>
            <w:r>
              <w:t xml:space="preserve">163,04 εκ. </w:t>
            </w:r>
            <w:r w:rsidRPr="00765602">
              <w:rPr>
                <w:rFonts w:cstheme="minorHAnsi"/>
              </w:rPr>
              <w:t>€</w:t>
            </w:r>
          </w:p>
        </w:tc>
      </w:tr>
      <w:tr w:rsidR="002346D8" w:rsidTr="00686A2B">
        <w:trPr>
          <w:trHeight w:val="279"/>
        </w:trPr>
        <w:tc>
          <w:tcPr>
            <w:tcW w:w="2410" w:type="dxa"/>
            <w:tcBorders>
              <w:top w:val="nil"/>
              <w:left w:val="threeDEngrave" w:sz="24" w:space="0" w:color="auto"/>
              <w:bottom w:val="nil"/>
              <w:right w:val="double" w:sz="4" w:space="0" w:color="auto"/>
            </w:tcBorders>
            <w:vAlign w:val="center"/>
          </w:tcPr>
          <w:p w:rsidR="002346D8" w:rsidRPr="002346D8" w:rsidRDefault="002346D8" w:rsidP="002346D8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cstheme="minorHAnsi"/>
              </w:rPr>
            </w:pPr>
            <w:r w:rsidRPr="00781FA7">
              <w:t>5.001 – 10</w:t>
            </w:r>
            <w:r>
              <w:t xml:space="preserve">.000 </w:t>
            </w:r>
            <w:r w:rsidRPr="002346D8">
              <w:rPr>
                <w:rFonts w:cstheme="minorHAnsi"/>
              </w:rPr>
              <w:t>€</w:t>
            </w:r>
          </w:p>
        </w:tc>
        <w:tc>
          <w:tcPr>
            <w:tcW w:w="28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346D8" w:rsidRDefault="002346D8" w:rsidP="00786093">
            <w:pPr>
              <w:tabs>
                <w:tab w:val="left" w:pos="1185"/>
              </w:tabs>
              <w:jc w:val="center"/>
            </w:pPr>
            <w:r w:rsidRPr="00A479E4">
              <w:rPr>
                <w:rFonts w:cstheme="minorHAnsi"/>
              </w:rPr>
              <w:t>26.410</w:t>
            </w:r>
          </w:p>
        </w:tc>
        <w:tc>
          <w:tcPr>
            <w:tcW w:w="3259" w:type="dxa"/>
            <w:tcBorders>
              <w:top w:val="nil"/>
              <w:left w:val="double" w:sz="4" w:space="0" w:color="auto"/>
              <w:bottom w:val="nil"/>
              <w:right w:val="threeDEmboss" w:sz="24" w:space="0" w:color="auto"/>
            </w:tcBorders>
            <w:vAlign w:val="center"/>
          </w:tcPr>
          <w:p w:rsidR="002346D8" w:rsidRDefault="002346D8" w:rsidP="00317311">
            <w:pPr>
              <w:tabs>
                <w:tab w:val="left" w:pos="1185"/>
              </w:tabs>
              <w:jc w:val="center"/>
            </w:pPr>
            <w:r>
              <w:t xml:space="preserve">198,2 εκ. </w:t>
            </w:r>
            <w:r w:rsidRPr="00765602">
              <w:rPr>
                <w:rFonts w:cstheme="minorHAnsi"/>
              </w:rPr>
              <w:t>€</w:t>
            </w:r>
          </w:p>
        </w:tc>
      </w:tr>
      <w:tr w:rsidR="002346D8" w:rsidTr="00686A2B">
        <w:trPr>
          <w:trHeight w:val="279"/>
        </w:trPr>
        <w:tc>
          <w:tcPr>
            <w:tcW w:w="2410" w:type="dxa"/>
            <w:tcBorders>
              <w:top w:val="nil"/>
              <w:left w:val="threeDEngrave" w:sz="24" w:space="0" w:color="auto"/>
              <w:bottom w:val="nil"/>
              <w:right w:val="double" w:sz="4" w:space="0" w:color="auto"/>
            </w:tcBorders>
            <w:vAlign w:val="center"/>
          </w:tcPr>
          <w:p w:rsidR="002346D8" w:rsidRPr="002346D8" w:rsidRDefault="002346D8" w:rsidP="002346D8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cstheme="minorHAnsi"/>
              </w:rPr>
            </w:pPr>
            <w:r>
              <w:t>10.001 – 5</w:t>
            </w:r>
            <w:r w:rsidRPr="00781FA7">
              <w:t>0</w:t>
            </w:r>
            <w:r>
              <w:t xml:space="preserve">.000 </w:t>
            </w:r>
            <w:r w:rsidRPr="002346D8">
              <w:rPr>
                <w:rFonts w:cstheme="minorHAnsi"/>
              </w:rPr>
              <w:t>€</w:t>
            </w:r>
          </w:p>
        </w:tc>
        <w:tc>
          <w:tcPr>
            <w:tcW w:w="28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346D8" w:rsidRDefault="002346D8" w:rsidP="00786093">
            <w:pPr>
              <w:tabs>
                <w:tab w:val="left" w:pos="1185"/>
              </w:tabs>
              <w:jc w:val="center"/>
            </w:pPr>
            <w:r>
              <w:t>150.092</w:t>
            </w:r>
          </w:p>
        </w:tc>
        <w:tc>
          <w:tcPr>
            <w:tcW w:w="3259" w:type="dxa"/>
            <w:tcBorders>
              <w:top w:val="nil"/>
              <w:left w:val="double" w:sz="4" w:space="0" w:color="auto"/>
              <w:bottom w:val="nil"/>
              <w:right w:val="threeDEmboss" w:sz="24" w:space="0" w:color="auto"/>
            </w:tcBorders>
            <w:vAlign w:val="center"/>
          </w:tcPr>
          <w:p w:rsidR="002346D8" w:rsidRDefault="002346D8" w:rsidP="00317311">
            <w:pPr>
              <w:tabs>
                <w:tab w:val="left" w:pos="1185"/>
              </w:tabs>
              <w:jc w:val="center"/>
            </w:pPr>
            <w:r>
              <w:t xml:space="preserve">3,96 δις  </w:t>
            </w:r>
            <w:r w:rsidRPr="00765602">
              <w:rPr>
                <w:rFonts w:cstheme="minorHAnsi"/>
              </w:rPr>
              <w:t>€</w:t>
            </w:r>
          </w:p>
        </w:tc>
      </w:tr>
      <w:tr w:rsidR="002346D8" w:rsidTr="00686A2B">
        <w:trPr>
          <w:trHeight w:val="279"/>
        </w:trPr>
        <w:tc>
          <w:tcPr>
            <w:tcW w:w="2410" w:type="dxa"/>
            <w:tcBorders>
              <w:top w:val="nil"/>
              <w:left w:val="threeDEngrave" w:sz="24" w:space="0" w:color="auto"/>
              <w:bottom w:val="nil"/>
              <w:right w:val="double" w:sz="4" w:space="0" w:color="auto"/>
            </w:tcBorders>
            <w:vAlign w:val="center"/>
          </w:tcPr>
          <w:p w:rsidR="002346D8" w:rsidRPr="002346D8" w:rsidRDefault="002346D8" w:rsidP="002346D8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cstheme="minorHAnsi"/>
              </w:rPr>
            </w:pPr>
            <w:r>
              <w:t>5</w:t>
            </w:r>
            <w:r w:rsidRPr="00781FA7">
              <w:t xml:space="preserve">0.001 – </w:t>
            </w:r>
            <w:r>
              <w:t>10</w:t>
            </w:r>
            <w:r w:rsidRPr="00781FA7">
              <w:t xml:space="preserve">0.000 </w:t>
            </w:r>
            <w:r w:rsidRPr="002346D8">
              <w:rPr>
                <w:rFonts w:cstheme="minorHAnsi"/>
              </w:rPr>
              <w:t>€</w:t>
            </w:r>
          </w:p>
        </w:tc>
        <w:tc>
          <w:tcPr>
            <w:tcW w:w="28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346D8" w:rsidRDefault="002346D8" w:rsidP="00786093">
            <w:pPr>
              <w:tabs>
                <w:tab w:val="left" w:pos="1185"/>
              </w:tabs>
              <w:jc w:val="center"/>
            </w:pPr>
            <w:r>
              <w:t>41.544</w:t>
            </w:r>
          </w:p>
        </w:tc>
        <w:tc>
          <w:tcPr>
            <w:tcW w:w="3259" w:type="dxa"/>
            <w:tcBorders>
              <w:top w:val="nil"/>
              <w:left w:val="double" w:sz="4" w:space="0" w:color="auto"/>
              <w:bottom w:val="nil"/>
              <w:right w:val="threeDEmboss" w:sz="24" w:space="0" w:color="auto"/>
            </w:tcBorders>
            <w:vAlign w:val="center"/>
          </w:tcPr>
          <w:p w:rsidR="002346D8" w:rsidRDefault="002346D8" w:rsidP="00317311">
            <w:pPr>
              <w:tabs>
                <w:tab w:val="left" w:pos="1185"/>
              </w:tabs>
              <w:jc w:val="center"/>
            </w:pPr>
            <w:r>
              <w:t xml:space="preserve">2,78 δις  </w:t>
            </w:r>
            <w:r w:rsidRPr="00765602">
              <w:rPr>
                <w:rFonts w:cstheme="minorHAnsi"/>
              </w:rPr>
              <w:t>€</w:t>
            </w:r>
          </w:p>
        </w:tc>
      </w:tr>
      <w:tr w:rsidR="002346D8" w:rsidTr="0035503B">
        <w:trPr>
          <w:trHeight w:val="279"/>
        </w:trPr>
        <w:tc>
          <w:tcPr>
            <w:tcW w:w="2410" w:type="dxa"/>
            <w:tcBorders>
              <w:top w:val="nil"/>
              <w:left w:val="threeDEngrave" w:sz="24" w:space="0" w:color="auto"/>
              <w:bottom w:val="nil"/>
              <w:right w:val="double" w:sz="4" w:space="0" w:color="auto"/>
            </w:tcBorders>
            <w:vAlign w:val="center"/>
          </w:tcPr>
          <w:p w:rsidR="002346D8" w:rsidRPr="002346D8" w:rsidRDefault="002346D8" w:rsidP="002346D8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cstheme="minorHAnsi"/>
              </w:rPr>
            </w:pPr>
            <w:r>
              <w:t xml:space="preserve">άνω των 100.000 </w:t>
            </w:r>
            <w:r w:rsidRPr="002346D8">
              <w:rPr>
                <w:rFonts w:cstheme="minorHAnsi"/>
              </w:rPr>
              <w:t>€</w:t>
            </w:r>
          </w:p>
        </w:tc>
        <w:tc>
          <w:tcPr>
            <w:tcW w:w="28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346D8" w:rsidRDefault="002346D8" w:rsidP="00786093">
            <w:pPr>
              <w:tabs>
                <w:tab w:val="left" w:pos="1185"/>
              </w:tabs>
              <w:jc w:val="center"/>
            </w:pPr>
            <w:r>
              <w:t>8.717</w:t>
            </w:r>
          </w:p>
        </w:tc>
        <w:tc>
          <w:tcPr>
            <w:tcW w:w="3259" w:type="dxa"/>
            <w:tcBorders>
              <w:top w:val="nil"/>
              <w:left w:val="double" w:sz="4" w:space="0" w:color="auto"/>
              <w:bottom w:val="nil"/>
              <w:right w:val="threeDEmboss" w:sz="24" w:space="0" w:color="auto"/>
            </w:tcBorders>
            <w:vAlign w:val="center"/>
          </w:tcPr>
          <w:p w:rsidR="002346D8" w:rsidRDefault="002346D8" w:rsidP="00317311">
            <w:pPr>
              <w:tabs>
                <w:tab w:val="left" w:pos="1185"/>
              </w:tabs>
              <w:jc w:val="center"/>
            </w:pPr>
            <w:r>
              <w:t xml:space="preserve">1,1 δις </w:t>
            </w:r>
            <w:r w:rsidRPr="00765602">
              <w:rPr>
                <w:rFonts w:cstheme="minorHAnsi"/>
              </w:rPr>
              <w:t>€</w:t>
            </w:r>
          </w:p>
        </w:tc>
      </w:tr>
      <w:tr w:rsidR="0035503B" w:rsidTr="00C56DF7">
        <w:trPr>
          <w:trHeight w:val="241"/>
        </w:trPr>
        <w:tc>
          <w:tcPr>
            <w:tcW w:w="2410" w:type="dxa"/>
            <w:tcBorders>
              <w:top w:val="nil"/>
              <w:left w:val="threeDEngrav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503B" w:rsidRPr="0035503B" w:rsidRDefault="0035503B" w:rsidP="0035503B">
            <w:pPr>
              <w:pStyle w:val="a4"/>
              <w:ind w:left="317"/>
              <w:rPr>
                <w:b/>
                <w:i/>
                <w:u w:val="single"/>
              </w:rPr>
            </w:pPr>
            <w:r>
              <w:t xml:space="preserve">      </w:t>
            </w:r>
            <w:r w:rsidRPr="0035503B">
              <w:rPr>
                <w:b/>
                <w:i/>
                <w:u w:val="single"/>
              </w:rPr>
              <w:t xml:space="preserve"> Σύνολο</w:t>
            </w:r>
            <w:r w:rsidR="00F0184B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503B" w:rsidRPr="00A40B96" w:rsidRDefault="0035503B" w:rsidP="00786093">
            <w:pPr>
              <w:tabs>
                <w:tab w:val="left" w:pos="1185"/>
              </w:tabs>
              <w:jc w:val="center"/>
              <w:rPr>
                <w:b/>
                <w:i/>
              </w:rPr>
            </w:pPr>
            <w:r w:rsidRPr="00A40B96">
              <w:rPr>
                <w:b/>
                <w:i/>
              </w:rPr>
              <w:t>322.632</w:t>
            </w:r>
          </w:p>
        </w:tc>
        <w:tc>
          <w:tcPr>
            <w:tcW w:w="3259" w:type="dxa"/>
            <w:tcBorders>
              <w:top w:val="nil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:rsidR="0035503B" w:rsidRPr="00A40B96" w:rsidRDefault="0035503B" w:rsidP="00317311">
            <w:pPr>
              <w:tabs>
                <w:tab w:val="left" w:pos="1185"/>
              </w:tabs>
              <w:jc w:val="center"/>
              <w:rPr>
                <w:b/>
                <w:i/>
              </w:rPr>
            </w:pPr>
            <w:r w:rsidRPr="00A40B96">
              <w:rPr>
                <w:b/>
                <w:i/>
              </w:rPr>
              <w:t xml:space="preserve">8,2 δις </w:t>
            </w:r>
            <w:r w:rsidRPr="00A40B96">
              <w:rPr>
                <w:rFonts w:cstheme="minorHAnsi"/>
                <w:b/>
                <w:i/>
              </w:rPr>
              <w:t>€</w:t>
            </w:r>
          </w:p>
        </w:tc>
      </w:tr>
      <w:tr w:rsidR="00125B45" w:rsidTr="00C56DF7">
        <w:trPr>
          <w:trHeight w:val="673"/>
        </w:trPr>
        <w:tc>
          <w:tcPr>
            <w:tcW w:w="2410" w:type="dxa"/>
            <w:vMerge w:val="restart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125B45" w:rsidRPr="00EA7A56" w:rsidRDefault="00125B45" w:rsidP="00125B45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  <w:r w:rsidRPr="00EA7A56">
              <w:rPr>
                <w:b/>
                <w:sz w:val="24"/>
                <w:szCs w:val="24"/>
              </w:rPr>
              <w:t xml:space="preserve">Οφειλέτες/Οφειλές σε ΟΑΕΕ </w:t>
            </w:r>
          </w:p>
          <w:p w:rsidR="00125B45" w:rsidRDefault="00125B45" w:rsidP="000564EB">
            <w:r w:rsidRPr="00EA7A56">
              <w:rPr>
                <w:i/>
                <w:sz w:val="20"/>
                <w:szCs w:val="20"/>
              </w:rPr>
              <w:t>(</w:t>
            </w:r>
            <w:r w:rsidR="000564EB" w:rsidRPr="000564EB">
              <w:rPr>
                <w:i/>
                <w:sz w:val="20"/>
                <w:szCs w:val="20"/>
              </w:rPr>
              <w:t xml:space="preserve">δεν περιλαμβάνονται όσοι </w:t>
            </w:r>
            <w:r w:rsidR="000564EB">
              <w:rPr>
                <w:i/>
                <w:sz w:val="20"/>
                <w:szCs w:val="20"/>
              </w:rPr>
              <w:t xml:space="preserve">οφειλέτες </w:t>
            </w:r>
            <w:r w:rsidR="000564EB" w:rsidRPr="000564EB">
              <w:rPr>
                <w:i/>
                <w:sz w:val="20"/>
                <w:szCs w:val="20"/>
              </w:rPr>
              <w:t>έχουν υπαχθεί σε ρύθμιση</w:t>
            </w:r>
            <w:r w:rsidRPr="00EA7A5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37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125B45" w:rsidRPr="00CE1721" w:rsidRDefault="00125B45" w:rsidP="00786093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CE1721">
              <w:rPr>
                <w:b/>
                <w:sz w:val="24"/>
                <w:szCs w:val="24"/>
              </w:rPr>
              <w:t>Σύνολο οφειλετών σε ΟΑΕΕ</w:t>
            </w:r>
          </w:p>
        </w:tc>
        <w:tc>
          <w:tcPr>
            <w:tcW w:w="3259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B8CCE4" w:themeFill="accent1" w:themeFillTint="66"/>
            <w:vAlign w:val="center"/>
          </w:tcPr>
          <w:p w:rsidR="00125B45" w:rsidRPr="00CE1721" w:rsidRDefault="00125B45" w:rsidP="00786093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CE1721">
              <w:rPr>
                <w:b/>
                <w:sz w:val="24"/>
                <w:szCs w:val="24"/>
              </w:rPr>
              <w:t>Οφειλόμενα ποσά</w:t>
            </w:r>
          </w:p>
        </w:tc>
      </w:tr>
      <w:tr w:rsidR="00125B45" w:rsidTr="00C56DF7">
        <w:trPr>
          <w:trHeight w:val="688"/>
        </w:trPr>
        <w:tc>
          <w:tcPr>
            <w:tcW w:w="2410" w:type="dxa"/>
            <w:vMerge/>
            <w:tcBorders>
              <w:top w:val="doub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125B45" w:rsidRDefault="00125B45" w:rsidP="00125B45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125B45" w:rsidRPr="000564EB" w:rsidRDefault="00125B45" w:rsidP="00786093">
            <w:pPr>
              <w:tabs>
                <w:tab w:val="left" w:pos="1185"/>
              </w:tabs>
              <w:jc w:val="center"/>
              <w:rPr>
                <w:b/>
              </w:rPr>
            </w:pPr>
            <w:r w:rsidRPr="000564EB">
              <w:rPr>
                <w:b/>
              </w:rPr>
              <w:t xml:space="preserve">530.117 </w:t>
            </w:r>
          </w:p>
          <w:p w:rsidR="00125B45" w:rsidRDefault="00125B45" w:rsidP="00786093">
            <w:pPr>
              <w:tabs>
                <w:tab w:val="left" w:pos="1185"/>
              </w:tabs>
              <w:jc w:val="center"/>
              <w:rPr>
                <w:i/>
                <w:sz w:val="20"/>
                <w:szCs w:val="20"/>
              </w:rPr>
            </w:pPr>
            <w:r w:rsidRPr="00A37C63">
              <w:rPr>
                <w:i/>
                <w:sz w:val="20"/>
                <w:szCs w:val="20"/>
              </w:rPr>
              <w:t>(ενεργοί: 297.827)</w:t>
            </w:r>
          </w:p>
          <w:p w:rsidR="00125B45" w:rsidRPr="00A37C63" w:rsidRDefault="00125B45" w:rsidP="000564EB">
            <w:pPr>
              <w:tabs>
                <w:tab w:val="left" w:pos="1185"/>
              </w:tabs>
              <w:jc w:val="center"/>
              <w:rPr>
                <w:i/>
                <w:sz w:val="20"/>
                <w:szCs w:val="20"/>
              </w:rPr>
            </w:pPr>
            <w:r w:rsidRPr="00A37C63">
              <w:rPr>
                <w:i/>
                <w:sz w:val="20"/>
                <w:szCs w:val="20"/>
              </w:rPr>
              <w:t>(διακοπέντες: 23</w:t>
            </w:r>
            <w:r w:rsidR="000564EB">
              <w:rPr>
                <w:i/>
                <w:sz w:val="20"/>
                <w:szCs w:val="20"/>
              </w:rPr>
              <w:t>2</w:t>
            </w:r>
            <w:r w:rsidRPr="00A37C63">
              <w:rPr>
                <w:i/>
                <w:sz w:val="20"/>
                <w:szCs w:val="20"/>
              </w:rPr>
              <w:t>.290)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25B45" w:rsidRPr="000564EB" w:rsidRDefault="00125B45" w:rsidP="00786093">
            <w:pPr>
              <w:tabs>
                <w:tab w:val="left" w:pos="1185"/>
              </w:tabs>
              <w:jc w:val="center"/>
              <w:rPr>
                <w:b/>
              </w:rPr>
            </w:pPr>
            <w:r w:rsidRPr="000564EB">
              <w:rPr>
                <w:b/>
              </w:rPr>
              <w:t>10,2</w:t>
            </w:r>
            <w:r w:rsidR="000564EB" w:rsidRPr="000564EB">
              <w:rPr>
                <w:b/>
              </w:rPr>
              <w:t>1</w:t>
            </w:r>
            <w:r w:rsidRPr="000564EB">
              <w:rPr>
                <w:b/>
              </w:rPr>
              <w:t xml:space="preserve"> δις </w:t>
            </w:r>
            <w:r w:rsidRPr="000564EB">
              <w:rPr>
                <w:rFonts w:cstheme="minorHAnsi"/>
                <w:b/>
              </w:rPr>
              <w:t>€</w:t>
            </w:r>
          </w:p>
          <w:p w:rsidR="00125B45" w:rsidRPr="00A37C63" w:rsidRDefault="00125B45" w:rsidP="00786093">
            <w:pPr>
              <w:tabs>
                <w:tab w:val="left" w:pos="1185"/>
              </w:tabs>
              <w:jc w:val="center"/>
              <w:rPr>
                <w:i/>
                <w:sz w:val="20"/>
                <w:szCs w:val="20"/>
              </w:rPr>
            </w:pPr>
            <w:r w:rsidRPr="00A37C63">
              <w:rPr>
                <w:i/>
                <w:sz w:val="20"/>
                <w:szCs w:val="20"/>
              </w:rPr>
              <w:t xml:space="preserve">(ενεργοί: </w:t>
            </w:r>
            <w:r>
              <w:rPr>
                <w:i/>
                <w:sz w:val="20"/>
                <w:szCs w:val="20"/>
              </w:rPr>
              <w:t>7,</w:t>
            </w:r>
            <w:r w:rsidR="000564EB">
              <w:rPr>
                <w:i/>
                <w:sz w:val="20"/>
                <w:szCs w:val="20"/>
              </w:rPr>
              <w:t>79</w:t>
            </w:r>
            <w:r>
              <w:rPr>
                <w:i/>
                <w:sz w:val="20"/>
                <w:szCs w:val="20"/>
              </w:rPr>
              <w:t xml:space="preserve"> δις </w:t>
            </w:r>
            <w:r>
              <w:rPr>
                <w:rFonts w:cstheme="minorHAnsi"/>
              </w:rPr>
              <w:t>€</w:t>
            </w:r>
            <w:r w:rsidRPr="00A37C63">
              <w:rPr>
                <w:i/>
                <w:sz w:val="20"/>
                <w:szCs w:val="20"/>
              </w:rPr>
              <w:t>)</w:t>
            </w:r>
          </w:p>
          <w:p w:rsidR="00125B45" w:rsidRPr="00A37C63" w:rsidRDefault="00125B45" w:rsidP="00786093">
            <w:pPr>
              <w:tabs>
                <w:tab w:val="left" w:pos="1185"/>
              </w:tabs>
              <w:jc w:val="center"/>
            </w:pPr>
            <w:r w:rsidRPr="00A37C63">
              <w:rPr>
                <w:i/>
                <w:sz w:val="20"/>
                <w:szCs w:val="20"/>
              </w:rPr>
              <w:t xml:space="preserve">(διακοπέντες: </w:t>
            </w:r>
            <w:r>
              <w:rPr>
                <w:i/>
                <w:sz w:val="20"/>
                <w:szCs w:val="20"/>
              </w:rPr>
              <w:t>2,4</w:t>
            </w:r>
            <w:r w:rsidR="000564EB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δις </w:t>
            </w:r>
            <w:r>
              <w:rPr>
                <w:rFonts w:cstheme="minorHAnsi"/>
              </w:rPr>
              <w:t>€</w:t>
            </w:r>
            <w:r w:rsidRPr="00A37C63">
              <w:rPr>
                <w:i/>
                <w:sz w:val="20"/>
                <w:szCs w:val="20"/>
              </w:rPr>
              <w:t>)</w:t>
            </w:r>
          </w:p>
        </w:tc>
      </w:tr>
      <w:tr w:rsidR="00CE1721" w:rsidTr="00686A2B">
        <w:tc>
          <w:tcPr>
            <w:tcW w:w="2410" w:type="dxa"/>
            <w:vMerge w:val="restart"/>
            <w:tcBorders>
              <w:top w:val="threeDEmboss" w:sz="24" w:space="0" w:color="auto"/>
              <w:left w:val="threeDEngrave" w:sz="24" w:space="0" w:color="auto"/>
              <w:bottom w:val="threeDEngrave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CE1721" w:rsidRPr="00EA7A56" w:rsidRDefault="00CE1721" w:rsidP="00C56DF7">
            <w:pPr>
              <w:tabs>
                <w:tab w:val="left" w:pos="1185"/>
              </w:tabs>
              <w:rPr>
                <w:b/>
                <w:sz w:val="26"/>
                <w:szCs w:val="26"/>
              </w:rPr>
            </w:pPr>
            <w:r w:rsidRPr="00EA7A56">
              <w:rPr>
                <w:b/>
                <w:sz w:val="24"/>
                <w:szCs w:val="24"/>
              </w:rPr>
              <w:t>Κατηγορίες με τη μεγαλύτερη αναλογία ενεργών οφειλετών/ενεργ</w:t>
            </w:r>
            <w:r w:rsidR="00C56DF7">
              <w:rPr>
                <w:b/>
                <w:sz w:val="24"/>
                <w:szCs w:val="24"/>
              </w:rPr>
              <w:t>ών</w:t>
            </w:r>
            <w:r w:rsidRPr="00EA7A56">
              <w:rPr>
                <w:b/>
                <w:sz w:val="24"/>
                <w:szCs w:val="24"/>
              </w:rPr>
              <w:t xml:space="preserve"> ασφαλισμέν</w:t>
            </w:r>
            <w:r w:rsidR="00C56DF7">
              <w:rPr>
                <w:b/>
                <w:sz w:val="24"/>
                <w:szCs w:val="24"/>
              </w:rPr>
              <w:t>ων</w:t>
            </w:r>
          </w:p>
        </w:tc>
        <w:tc>
          <w:tcPr>
            <w:tcW w:w="2837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CE1721" w:rsidRPr="00CE1721" w:rsidRDefault="00CE1721" w:rsidP="000E5390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CE1721">
              <w:rPr>
                <w:b/>
                <w:sz w:val="24"/>
                <w:szCs w:val="24"/>
              </w:rPr>
              <w:t>Νέοι Ασφαλισμένοι</w:t>
            </w:r>
          </w:p>
        </w:tc>
        <w:tc>
          <w:tcPr>
            <w:tcW w:w="3259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B8CCE4" w:themeFill="accent1" w:themeFillTint="66"/>
            <w:vAlign w:val="center"/>
          </w:tcPr>
          <w:p w:rsidR="00CE1721" w:rsidRPr="00CE1721" w:rsidRDefault="00CE1721" w:rsidP="000E5390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CE1721">
              <w:rPr>
                <w:b/>
                <w:sz w:val="24"/>
                <w:szCs w:val="24"/>
              </w:rPr>
              <w:t>Παλαιοί Ασφαλισμένοι</w:t>
            </w:r>
          </w:p>
        </w:tc>
      </w:tr>
      <w:tr w:rsidR="00CE1721" w:rsidTr="00686A2B">
        <w:trPr>
          <w:trHeight w:val="1824"/>
        </w:trPr>
        <w:tc>
          <w:tcPr>
            <w:tcW w:w="2410" w:type="dxa"/>
            <w:vMerge/>
            <w:tcBorders>
              <w:top w:val="double" w:sz="4" w:space="0" w:color="auto"/>
              <w:left w:val="threeDEngrave" w:sz="24" w:space="0" w:color="auto"/>
              <w:bottom w:val="threeDEngrave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CE1721" w:rsidRPr="00616E59" w:rsidRDefault="00CE1721" w:rsidP="00847497">
            <w:pPr>
              <w:tabs>
                <w:tab w:val="left" w:pos="1185"/>
              </w:tabs>
              <w:rPr>
                <w:sz w:val="26"/>
                <w:szCs w:val="26"/>
              </w:rPr>
            </w:pP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vAlign w:val="center"/>
          </w:tcPr>
          <w:p w:rsidR="00CE1721" w:rsidRPr="00007412" w:rsidRDefault="00CE1721" w:rsidP="00847497">
            <w:pPr>
              <w:tabs>
                <w:tab w:val="left" w:pos="1185"/>
              </w:tabs>
              <w:jc w:val="center"/>
            </w:pPr>
            <w:r>
              <w:t xml:space="preserve">  6</w:t>
            </w:r>
            <w:r w:rsidRPr="00007412">
              <w:rPr>
                <w:vertAlign w:val="superscript"/>
              </w:rPr>
              <w:t>η</w:t>
            </w:r>
            <w:r w:rsidRPr="00007412">
              <w:t xml:space="preserve"> : </w:t>
            </w:r>
            <w:r>
              <w:t>75,7%</w:t>
            </w:r>
          </w:p>
          <w:p w:rsidR="00CE1721" w:rsidRPr="00007412" w:rsidRDefault="00CE1721" w:rsidP="00847497">
            <w:pPr>
              <w:tabs>
                <w:tab w:val="left" w:pos="1185"/>
              </w:tabs>
              <w:jc w:val="center"/>
            </w:pPr>
            <w:r>
              <w:t xml:space="preserve">  7</w:t>
            </w:r>
            <w:r w:rsidRPr="00007412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70,4%</w:t>
            </w:r>
          </w:p>
          <w:p w:rsidR="00CE1721" w:rsidRPr="00007412" w:rsidRDefault="00CE1721" w:rsidP="00847497">
            <w:pPr>
              <w:tabs>
                <w:tab w:val="left" w:pos="1185"/>
              </w:tabs>
              <w:jc w:val="center"/>
            </w:pPr>
            <w:r w:rsidRPr="00007412">
              <w:t>3</w:t>
            </w:r>
            <w:r w:rsidRPr="006D0F0E">
              <w:rPr>
                <w:vertAlign w:val="superscript"/>
              </w:rPr>
              <w:t>η</w:t>
            </w:r>
            <w:r>
              <w:t xml:space="preserve"> &amp; 5</w:t>
            </w:r>
            <w:r w:rsidRPr="006D0F0E">
              <w:rPr>
                <w:vertAlign w:val="superscript"/>
              </w:rPr>
              <w:t>η</w:t>
            </w:r>
            <w:r>
              <w:t xml:space="preserve"> </w:t>
            </w:r>
            <w:r w:rsidRPr="00007412">
              <w:t xml:space="preserve">: </w:t>
            </w:r>
            <w:r>
              <w:t xml:space="preserve"> 61,3%</w:t>
            </w:r>
          </w:p>
          <w:p w:rsidR="00CE1721" w:rsidRDefault="00CE1721" w:rsidP="00847497">
            <w:pPr>
              <w:tabs>
                <w:tab w:val="left" w:pos="1185"/>
              </w:tabs>
              <w:jc w:val="center"/>
            </w:pPr>
            <w:r>
              <w:t xml:space="preserve"> 2</w:t>
            </w:r>
            <w:r w:rsidRPr="006D0F0E">
              <w:rPr>
                <w:vertAlign w:val="superscript"/>
              </w:rPr>
              <w:t>η</w:t>
            </w:r>
            <w:r w:rsidRPr="00007412">
              <w:t xml:space="preserve">: </w:t>
            </w:r>
            <w:r>
              <w:t xml:space="preserve">  51,6%</w:t>
            </w:r>
          </w:p>
          <w:p w:rsidR="00CE1721" w:rsidRPr="00007412" w:rsidRDefault="00CE1721" w:rsidP="00847497">
            <w:pPr>
              <w:tabs>
                <w:tab w:val="left" w:pos="1185"/>
              </w:tabs>
              <w:jc w:val="center"/>
            </w:pPr>
            <w:r>
              <w:t>4</w:t>
            </w:r>
            <w:r w:rsidRPr="006D0F0E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</w:t>
            </w:r>
            <w:r w:rsidRPr="00007412">
              <w:t xml:space="preserve"> </w:t>
            </w:r>
            <w:r>
              <w:t>50,0%</w:t>
            </w:r>
          </w:p>
          <w:p w:rsidR="00CE1721" w:rsidRPr="006D0F0E" w:rsidRDefault="00CE1721" w:rsidP="00847497">
            <w:pPr>
              <w:tabs>
                <w:tab w:val="left" w:pos="1185"/>
              </w:tabs>
              <w:jc w:val="center"/>
            </w:pPr>
            <w:r>
              <w:t>1</w:t>
            </w:r>
            <w:r w:rsidRPr="006D0F0E">
              <w:rPr>
                <w:vertAlign w:val="superscript"/>
              </w:rPr>
              <w:t>η</w:t>
            </w:r>
            <w:r w:rsidRPr="00007412">
              <w:t xml:space="preserve">: </w:t>
            </w:r>
            <w:r>
              <w:t xml:space="preserve">  23,7%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threeDEmboss" w:sz="24" w:space="0" w:color="auto"/>
            </w:tcBorders>
            <w:vAlign w:val="center"/>
          </w:tcPr>
          <w:p w:rsidR="00CE1721" w:rsidRPr="00007412" w:rsidRDefault="00CE1721" w:rsidP="00847497">
            <w:pPr>
              <w:tabs>
                <w:tab w:val="left" w:pos="1185"/>
              </w:tabs>
              <w:jc w:val="center"/>
            </w:pPr>
            <w:r>
              <w:t xml:space="preserve">  6</w:t>
            </w:r>
            <w:r w:rsidRPr="00007412">
              <w:rPr>
                <w:vertAlign w:val="superscript"/>
              </w:rPr>
              <w:t>η</w:t>
            </w:r>
            <w:r w:rsidRPr="00007412">
              <w:t xml:space="preserve"> : </w:t>
            </w:r>
            <w:r>
              <w:t>66,6%</w:t>
            </w:r>
          </w:p>
          <w:p w:rsidR="00CE1721" w:rsidRDefault="00CE1721" w:rsidP="00847497">
            <w:pPr>
              <w:tabs>
                <w:tab w:val="left" w:pos="1185"/>
              </w:tabs>
              <w:jc w:val="center"/>
            </w:pPr>
            <w:r>
              <w:t xml:space="preserve">  7</w:t>
            </w:r>
            <w:r w:rsidRPr="00007412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66,2%</w:t>
            </w:r>
          </w:p>
          <w:p w:rsidR="00CE1721" w:rsidRPr="00007412" w:rsidRDefault="00CE1721" w:rsidP="00847497">
            <w:pPr>
              <w:tabs>
                <w:tab w:val="left" w:pos="1185"/>
              </w:tabs>
              <w:jc w:val="center"/>
            </w:pPr>
            <w:r>
              <w:t>10</w:t>
            </w:r>
            <w:r w:rsidRPr="00616E59">
              <w:rPr>
                <w:vertAlign w:val="superscript"/>
              </w:rPr>
              <w:t>η</w:t>
            </w:r>
            <w:r>
              <w:t xml:space="preserve"> : 46,6%</w:t>
            </w:r>
          </w:p>
          <w:p w:rsidR="00CE1721" w:rsidRPr="00007412" w:rsidRDefault="00CE1721" w:rsidP="00847497">
            <w:pPr>
              <w:tabs>
                <w:tab w:val="left" w:pos="1185"/>
              </w:tabs>
              <w:jc w:val="center"/>
            </w:pPr>
            <w:r>
              <w:t xml:space="preserve">  5</w:t>
            </w:r>
            <w:r w:rsidRPr="006D0F0E">
              <w:rPr>
                <w:vertAlign w:val="superscript"/>
              </w:rPr>
              <w:t>η</w:t>
            </w:r>
            <w:r>
              <w:t xml:space="preserve"> </w:t>
            </w:r>
            <w:r w:rsidRPr="00007412">
              <w:t xml:space="preserve">: </w:t>
            </w:r>
            <w:r>
              <w:t>40,3%</w:t>
            </w:r>
          </w:p>
          <w:p w:rsidR="00CE1721" w:rsidRDefault="00CE1721" w:rsidP="00847497">
            <w:pPr>
              <w:tabs>
                <w:tab w:val="left" w:pos="1185"/>
              </w:tabs>
              <w:jc w:val="center"/>
            </w:pPr>
            <w:r>
              <w:t xml:space="preserve">  2</w:t>
            </w:r>
            <w:r w:rsidRPr="006D0F0E">
              <w:rPr>
                <w:vertAlign w:val="superscript"/>
              </w:rPr>
              <w:t>η</w:t>
            </w:r>
            <w:r w:rsidRPr="00007412">
              <w:t xml:space="preserve">: </w:t>
            </w:r>
            <w:r>
              <w:t xml:space="preserve"> 38,6%</w:t>
            </w:r>
          </w:p>
          <w:p w:rsidR="00CE1721" w:rsidRPr="00007412" w:rsidRDefault="00CE1721" w:rsidP="00847497">
            <w:pPr>
              <w:tabs>
                <w:tab w:val="left" w:pos="1185"/>
              </w:tabs>
              <w:jc w:val="center"/>
            </w:pPr>
            <w:r>
              <w:t xml:space="preserve">  3</w:t>
            </w:r>
            <w:r w:rsidRPr="006D0F0E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36,0%</w:t>
            </w:r>
          </w:p>
          <w:p w:rsidR="00CE1721" w:rsidRDefault="00CE1721" w:rsidP="00847497">
            <w:pPr>
              <w:tabs>
                <w:tab w:val="left" w:pos="1185"/>
              </w:tabs>
              <w:jc w:val="center"/>
            </w:pPr>
            <w:r>
              <w:t xml:space="preserve">  4</w:t>
            </w:r>
            <w:r w:rsidRPr="006D0F0E">
              <w:rPr>
                <w:vertAlign w:val="superscript"/>
              </w:rPr>
              <w:t>η</w:t>
            </w:r>
            <w:r w:rsidRPr="00007412">
              <w:t xml:space="preserve">: </w:t>
            </w:r>
            <w:r>
              <w:t xml:space="preserve"> 32,6%</w:t>
            </w:r>
          </w:p>
          <w:p w:rsidR="00CE1721" w:rsidRDefault="00CE1721" w:rsidP="00A40B96">
            <w:pPr>
              <w:tabs>
                <w:tab w:val="left" w:pos="1185"/>
              </w:tabs>
              <w:jc w:val="center"/>
              <w:rPr>
                <w:sz w:val="26"/>
                <w:szCs w:val="26"/>
              </w:rPr>
            </w:pPr>
            <w:r>
              <w:t xml:space="preserve">  1</w:t>
            </w:r>
            <w:r w:rsidRPr="006D0F0E">
              <w:rPr>
                <w:vertAlign w:val="superscript"/>
              </w:rPr>
              <w:t>η</w:t>
            </w:r>
            <w:r w:rsidRPr="00007412">
              <w:t xml:space="preserve">: </w:t>
            </w:r>
            <w:r w:rsidR="0039176B">
              <w:t xml:space="preserve"> </w:t>
            </w:r>
            <w:r>
              <w:t>2</w:t>
            </w:r>
            <w:r w:rsidR="00A40B96">
              <w:t>2</w:t>
            </w:r>
            <w:r>
              <w:t>,</w:t>
            </w:r>
            <w:r w:rsidR="00A40B96">
              <w:t>1</w:t>
            </w:r>
            <w:r>
              <w:t>%</w:t>
            </w:r>
          </w:p>
        </w:tc>
      </w:tr>
      <w:tr w:rsidR="00765602" w:rsidTr="00686A2B">
        <w:trPr>
          <w:trHeight w:val="1440"/>
        </w:trPr>
        <w:tc>
          <w:tcPr>
            <w:tcW w:w="2410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765602" w:rsidRDefault="00765602" w:rsidP="00847497">
            <w:pPr>
              <w:tabs>
                <w:tab w:val="left" w:pos="1185"/>
              </w:tabs>
              <w:rPr>
                <w:sz w:val="26"/>
                <w:szCs w:val="26"/>
              </w:rPr>
            </w:pPr>
            <w:r w:rsidRPr="00EA7A56">
              <w:rPr>
                <w:b/>
                <w:sz w:val="24"/>
                <w:szCs w:val="24"/>
              </w:rPr>
              <w:lastRenderedPageBreak/>
              <w:t>Κατηγορίες με τα μεγαλύτερα οφειλόμενα ποσά</w:t>
            </w:r>
            <w:r>
              <w:rPr>
                <w:sz w:val="26"/>
                <w:szCs w:val="26"/>
              </w:rPr>
              <w:t xml:space="preserve"> </w:t>
            </w:r>
            <w:r w:rsidRPr="00125AC0">
              <w:rPr>
                <w:i/>
                <w:sz w:val="20"/>
                <w:szCs w:val="20"/>
              </w:rPr>
              <w:t>(συνολικά ποσά)</w:t>
            </w:r>
          </w:p>
        </w:tc>
        <w:tc>
          <w:tcPr>
            <w:tcW w:w="2837" w:type="dxa"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65602" w:rsidRPr="00007412" w:rsidRDefault="00765602" w:rsidP="00847497">
            <w:pPr>
              <w:tabs>
                <w:tab w:val="left" w:pos="1185"/>
              </w:tabs>
              <w:jc w:val="center"/>
            </w:pPr>
            <w:r>
              <w:t xml:space="preserve">  3</w:t>
            </w:r>
            <w:r w:rsidRPr="00007412">
              <w:rPr>
                <w:vertAlign w:val="superscript"/>
              </w:rPr>
              <w:t>η</w:t>
            </w:r>
            <w:r w:rsidRPr="00007412">
              <w:t xml:space="preserve"> : </w:t>
            </w:r>
            <w:r>
              <w:t xml:space="preserve">917,3 εκ. </w:t>
            </w:r>
            <w:r>
              <w:rPr>
                <w:rFonts w:cstheme="minorHAnsi"/>
              </w:rPr>
              <w:t>€</w:t>
            </w:r>
          </w:p>
          <w:p w:rsidR="00765602" w:rsidRPr="00007412" w:rsidRDefault="00765602" w:rsidP="00847497">
            <w:pPr>
              <w:tabs>
                <w:tab w:val="left" w:pos="1185"/>
              </w:tabs>
              <w:jc w:val="center"/>
            </w:pPr>
            <w:r>
              <w:t xml:space="preserve">  7</w:t>
            </w:r>
            <w:r w:rsidRPr="00007412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495,6 εκ. </w:t>
            </w:r>
            <w:r>
              <w:rPr>
                <w:rFonts w:cstheme="minorHAnsi"/>
              </w:rPr>
              <w:t>€</w:t>
            </w:r>
          </w:p>
          <w:p w:rsidR="00765602" w:rsidRPr="00007412" w:rsidRDefault="00765602" w:rsidP="00847497">
            <w:pPr>
              <w:tabs>
                <w:tab w:val="left" w:pos="1185"/>
              </w:tabs>
              <w:jc w:val="center"/>
            </w:pPr>
            <w:r>
              <w:t xml:space="preserve">   4</w:t>
            </w:r>
            <w:r w:rsidRPr="006D0F0E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462,5 εκ. </w:t>
            </w:r>
            <w:r>
              <w:rPr>
                <w:rFonts w:cstheme="minorHAnsi"/>
              </w:rPr>
              <w:t>€</w:t>
            </w:r>
          </w:p>
          <w:p w:rsidR="00765602" w:rsidRDefault="00765602" w:rsidP="00847497">
            <w:pPr>
              <w:tabs>
                <w:tab w:val="left" w:pos="1185"/>
              </w:tabs>
              <w:jc w:val="center"/>
              <w:rPr>
                <w:sz w:val="26"/>
                <w:szCs w:val="26"/>
              </w:rPr>
            </w:pPr>
            <w:r>
              <w:t xml:space="preserve">   5</w:t>
            </w:r>
            <w:r w:rsidRPr="006D0F0E">
              <w:rPr>
                <w:vertAlign w:val="superscript"/>
              </w:rPr>
              <w:t>η</w:t>
            </w:r>
            <w:r w:rsidRPr="00007412">
              <w:t xml:space="preserve">: </w:t>
            </w:r>
            <w:r>
              <w:t xml:space="preserve"> 422,9 εκ.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3259" w:type="dxa"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765602" w:rsidRPr="00007412" w:rsidRDefault="00765602" w:rsidP="00847497">
            <w:pPr>
              <w:tabs>
                <w:tab w:val="left" w:pos="1185"/>
              </w:tabs>
            </w:pPr>
            <w:r>
              <w:t xml:space="preserve">      </w:t>
            </w:r>
            <w:r w:rsidR="0039176B">
              <w:t xml:space="preserve">     </w:t>
            </w:r>
            <w:r>
              <w:t xml:space="preserve"> </w:t>
            </w:r>
            <w:r w:rsidR="00A40B96">
              <w:t xml:space="preserve">       </w:t>
            </w:r>
            <w:r>
              <w:t>7</w:t>
            </w:r>
            <w:r w:rsidRPr="00007412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</w:t>
            </w:r>
            <w:r w:rsidRPr="00007412">
              <w:t xml:space="preserve"> </w:t>
            </w:r>
            <w:r>
              <w:t xml:space="preserve">2,6 δις </w:t>
            </w:r>
            <w:r>
              <w:rPr>
                <w:rFonts w:cstheme="minorHAnsi"/>
              </w:rPr>
              <w:t>€</w:t>
            </w:r>
          </w:p>
          <w:p w:rsidR="00765602" w:rsidRPr="00007412" w:rsidRDefault="00765602" w:rsidP="00847497">
            <w:pPr>
              <w:tabs>
                <w:tab w:val="left" w:pos="1185"/>
              </w:tabs>
              <w:jc w:val="center"/>
            </w:pPr>
            <w:r>
              <w:t xml:space="preserve">  6</w:t>
            </w:r>
            <w:r w:rsidRPr="00007412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701,0 εκ. </w:t>
            </w:r>
            <w:r>
              <w:rPr>
                <w:rFonts w:cstheme="minorHAnsi"/>
              </w:rPr>
              <w:t>€</w:t>
            </w:r>
          </w:p>
          <w:p w:rsidR="00765602" w:rsidRPr="00007412" w:rsidRDefault="00765602" w:rsidP="00847497">
            <w:pPr>
              <w:tabs>
                <w:tab w:val="left" w:pos="1185"/>
              </w:tabs>
              <w:jc w:val="center"/>
            </w:pPr>
            <w:r>
              <w:t xml:space="preserve">   4</w:t>
            </w:r>
            <w:r w:rsidRPr="006D0F0E">
              <w:rPr>
                <w:vertAlign w:val="superscript"/>
              </w:rPr>
              <w:t>η</w:t>
            </w:r>
            <w:r w:rsidRPr="00007412">
              <w:t>:</w:t>
            </w:r>
            <w:r>
              <w:t xml:space="preserve">  552,8 εκ. </w:t>
            </w:r>
            <w:r>
              <w:rPr>
                <w:rFonts w:cstheme="minorHAnsi"/>
              </w:rPr>
              <w:t>€</w:t>
            </w:r>
          </w:p>
          <w:p w:rsidR="00765602" w:rsidRDefault="00765602" w:rsidP="00847497">
            <w:pPr>
              <w:tabs>
                <w:tab w:val="left" w:pos="1185"/>
              </w:tabs>
              <w:jc w:val="center"/>
              <w:rPr>
                <w:sz w:val="26"/>
                <w:szCs w:val="26"/>
              </w:rPr>
            </w:pPr>
            <w:r>
              <w:t xml:space="preserve">   5</w:t>
            </w:r>
            <w:r w:rsidRPr="006D0F0E">
              <w:rPr>
                <w:vertAlign w:val="superscript"/>
              </w:rPr>
              <w:t>η</w:t>
            </w:r>
            <w:r w:rsidRPr="00007412">
              <w:t xml:space="preserve">: </w:t>
            </w:r>
            <w:r>
              <w:t xml:space="preserve"> 502,6 εκ. </w:t>
            </w:r>
            <w:r>
              <w:rPr>
                <w:rFonts w:cstheme="minorHAnsi"/>
              </w:rPr>
              <w:t>€</w:t>
            </w:r>
          </w:p>
        </w:tc>
      </w:tr>
      <w:tr w:rsidR="00765602" w:rsidTr="00686A2B">
        <w:trPr>
          <w:trHeight w:val="516"/>
        </w:trPr>
        <w:tc>
          <w:tcPr>
            <w:tcW w:w="2410" w:type="dxa"/>
            <w:vMerge w:val="restart"/>
            <w:tcBorders>
              <w:top w:val="threeDEmboss" w:sz="2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765602" w:rsidRPr="00EA7A56" w:rsidRDefault="00765602" w:rsidP="00217D84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  <w:r w:rsidRPr="00EA7A56">
              <w:rPr>
                <w:b/>
                <w:sz w:val="24"/>
                <w:szCs w:val="24"/>
              </w:rPr>
              <w:t>Κλιμάκια οφειλής με τους περισσότερους υπόχρεους</w:t>
            </w:r>
          </w:p>
        </w:tc>
        <w:tc>
          <w:tcPr>
            <w:tcW w:w="2837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765602" w:rsidRPr="000E5390" w:rsidRDefault="00765602" w:rsidP="009A56F0">
            <w:pPr>
              <w:tabs>
                <w:tab w:val="left" w:pos="223"/>
              </w:tabs>
              <w:rPr>
                <w:b/>
              </w:rPr>
            </w:pPr>
            <w:r w:rsidRPr="000E5390">
              <w:rPr>
                <w:b/>
              </w:rPr>
              <w:t xml:space="preserve">   Κλιμάκια οφειλών</w:t>
            </w:r>
          </w:p>
        </w:tc>
        <w:tc>
          <w:tcPr>
            <w:tcW w:w="3259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B8CCE4" w:themeFill="accent1" w:themeFillTint="66"/>
            <w:vAlign w:val="center"/>
          </w:tcPr>
          <w:p w:rsidR="00765602" w:rsidRPr="000E5390" w:rsidRDefault="00765602" w:rsidP="00465BC8">
            <w:pPr>
              <w:tabs>
                <w:tab w:val="left" w:pos="223"/>
              </w:tabs>
              <w:rPr>
                <w:b/>
              </w:rPr>
            </w:pPr>
            <w:r w:rsidRPr="000E5390">
              <w:rPr>
                <w:b/>
              </w:rPr>
              <w:t xml:space="preserve">            </w:t>
            </w:r>
            <w:r w:rsidR="00204C71">
              <w:rPr>
                <w:b/>
              </w:rPr>
              <w:t xml:space="preserve">          </w:t>
            </w:r>
            <w:r w:rsidR="00465BC8" w:rsidRPr="000E5390">
              <w:rPr>
                <w:b/>
              </w:rPr>
              <w:t>Υπόχρεοι</w:t>
            </w:r>
          </w:p>
        </w:tc>
      </w:tr>
      <w:tr w:rsidR="00CE1721" w:rsidTr="00686A2B">
        <w:trPr>
          <w:trHeight w:hRule="exact" w:val="340"/>
        </w:trPr>
        <w:tc>
          <w:tcPr>
            <w:tcW w:w="2410" w:type="dxa"/>
            <w:vMerge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CE1721" w:rsidRDefault="00CE1721" w:rsidP="00217D8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threeDEmboss" w:sz="24" w:space="0" w:color="auto"/>
            </w:tcBorders>
          </w:tcPr>
          <w:p w:rsidR="00CE1721" w:rsidRDefault="00CE1721" w:rsidP="0039176B">
            <w:pPr>
              <w:pStyle w:val="a4"/>
              <w:numPr>
                <w:ilvl w:val="0"/>
                <w:numId w:val="6"/>
              </w:numPr>
              <w:tabs>
                <w:tab w:val="left" w:pos="223"/>
              </w:tabs>
              <w:ind w:left="263" w:hanging="263"/>
            </w:pPr>
            <w:r>
              <w:t xml:space="preserve"> </w:t>
            </w:r>
            <w:r w:rsidRPr="0049034A">
              <w:t xml:space="preserve">501 - 1.000 </w:t>
            </w:r>
            <w:r w:rsidRPr="00465BC8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        </w:t>
            </w:r>
            <w:r w:rsidR="0039176B">
              <w:rPr>
                <w:rFonts w:cstheme="minorHAnsi"/>
              </w:rPr>
              <w:t xml:space="preserve">        </w:t>
            </w:r>
            <w:r>
              <w:rPr>
                <w:rFonts w:cstheme="minorHAnsi"/>
              </w:rPr>
              <w:t xml:space="preserve">   </w:t>
            </w:r>
            <w:r w:rsidRPr="00CE1721">
              <w:rPr>
                <w:rFonts w:cstheme="minorHAnsi"/>
                <w:b/>
              </w:rPr>
              <w:t>→</w:t>
            </w:r>
            <w:r>
              <w:rPr>
                <w:rFonts w:cstheme="minorHAnsi"/>
              </w:rPr>
              <w:t xml:space="preserve">            </w:t>
            </w:r>
            <w:r w:rsidR="00EA7A56">
              <w:rPr>
                <w:rFonts w:cstheme="minorHAnsi"/>
              </w:rPr>
              <w:t xml:space="preserve"> </w:t>
            </w:r>
            <w:r w:rsidR="00F846D3">
              <w:rPr>
                <w:rFonts w:cstheme="minorHAnsi"/>
              </w:rPr>
              <w:t xml:space="preserve"> </w:t>
            </w:r>
            <w:r w:rsidR="00204C71">
              <w:rPr>
                <w:rFonts w:cstheme="minorHAnsi"/>
              </w:rPr>
              <w:t xml:space="preserve">         </w:t>
            </w:r>
            <w:r w:rsidR="00F846D3">
              <w:rPr>
                <w:rFonts w:cstheme="minorHAnsi"/>
              </w:rPr>
              <w:t xml:space="preserve"> </w:t>
            </w:r>
            <w:r w:rsidR="00EA7A56">
              <w:rPr>
                <w:rFonts w:cstheme="minorHAnsi"/>
              </w:rPr>
              <w:t xml:space="preserve"> </w:t>
            </w:r>
            <w:r>
              <w:t xml:space="preserve">27.893 </w:t>
            </w:r>
          </w:p>
        </w:tc>
      </w:tr>
      <w:tr w:rsidR="00CE1721" w:rsidTr="00686A2B">
        <w:trPr>
          <w:trHeight w:hRule="exact" w:val="340"/>
        </w:trPr>
        <w:tc>
          <w:tcPr>
            <w:tcW w:w="2410" w:type="dxa"/>
            <w:vMerge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CE1721" w:rsidRDefault="00CE1721" w:rsidP="00217D8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uble" w:sz="4" w:space="0" w:color="auto"/>
              <w:bottom w:val="nil"/>
              <w:right w:val="threeDEmboss" w:sz="24" w:space="0" w:color="auto"/>
            </w:tcBorders>
          </w:tcPr>
          <w:p w:rsidR="00CE1721" w:rsidRDefault="00CE1721" w:rsidP="0039176B">
            <w:pPr>
              <w:pStyle w:val="a4"/>
              <w:numPr>
                <w:ilvl w:val="0"/>
                <w:numId w:val="6"/>
              </w:numPr>
              <w:tabs>
                <w:tab w:val="left" w:pos="223"/>
              </w:tabs>
              <w:ind w:left="263" w:hanging="263"/>
            </w:pPr>
            <w:r>
              <w:t xml:space="preserve"> </w:t>
            </w:r>
            <w:r w:rsidRPr="0049034A">
              <w:t xml:space="preserve">10.001 – 15.000 </w:t>
            </w:r>
            <w:r w:rsidRPr="00465BC8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  </w:t>
            </w:r>
            <w:r w:rsidR="0039176B">
              <w:rPr>
                <w:rFonts w:cstheme="minorHAnsi"/>
              </w:rPr>
              <w:t xml:space="preserve">        </w:t>
            </w:r>
            <w:r w:rsidRPr="00CE1721">
              <w:rPr>
                <w:rFonts w:cstheme="minorHAnsi"/>
                <w:b/>
              </w:rPr>
              <w:t>→</w:t>
            </w:r>
            <w:r>
              <w:rPr>
                <w:rFonts w:cstheme="minorHAnsi"/>
              </w:rPr>
              <w:t xml:space="preserve">             </w:t>
            </w:r>
            <w:r w:rsidR="00F846D3">
              <w:rPr>
                <w:rFonts w:cstheme="minorHAnsi"/>
              </w:rPr>
              <w:t xml:space="preserve">   </w:t>
            </w:r>
            <w:r w:rsidR="00204C71">
              <w:rPr>
                <w:rFonts w:cstheme="minorHAnsi"/>
              </w:rPr>
              <w:t xml:space="preserve">        </w:t>
            </w:r>
            <w:r>
              <w:rPr>
                <w:rFonts w:cstheme="minorHAnsi"/>
              </w:rPr>
              <w:t xml:space="preserve"> </w:t>
            </w:r>
            <w:r w:rsidRPr="00CE1721">
              <w:rPr>
                <w:rFonts w:cstheme="minorHAnsi"/>
              </w:rPr>
              <w:t xml:space="preserve">27.519 </w:t>
            </w:r>
          </w:p>
        </w:tc>
      </w:tr>
      <w:tr w:rsidR="00CE1721" w:rsidTr="00686A2B">
        <w:trPr>
          <w:trHeight w:hRule="exact" w:val="340"/>
        </w:trPr>
        <w:tc>
          <w:tcPr>
            <w:tcW w:w="2410" w:type="dxa"/>
            <w:vMerge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CE1721" w:rsidRDefault="00CE1721" w:rsidP="00217D8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uble" w:sz="4" w:space="0" w:color="auto"/>
              <w:bottom w:val="nil"/>
              <w:right w:val="threeDEmboss" w:sz="24" w:space="0" w:color="auto"/>
            </w:tcBorders>
          </w:tcPr>
          <w:p w:rsidR="00CE1721" w:rsidRDefault="00CE1721" w:rsidP="00F846D3">
            <w:pPr>
              <w:pStyle w:val="a4"/>
              <w:numPr>
                <w:ilvl w:val="0"/>
                <w:numId w:val="6"/>
              </w:numPr>
              <w:ind w:left="263" w:hanging="263"/>
            </w:pPr>
            <w:r w:rsidRPr="0049034A">
              <w:t xml:space="preserve">15.001 – 20.000 </w:t>
            </w:r>
            <w:r w:rsidRPr="00465BC8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  </w:t>
            </w:r>
            <w:r w:rsidR="0039176B">
              <w:rPr>
                <w:rFonts w:cstheme="minorHAnsi"/>
              </w:rPr>
              <w:t xml:space="preserve">        </w:t>
            </w:r>
            <w:r w:rsidRPr="00CE1721">
              <w:rPr>
                <w:rFonts w:cstheme="minorHAnsi"/>
                <w:b/>
              </w:rPr>
              <w:t>→</w:t>
            </w:r>
            <w:r>
              <w:rPr>
                <w:rFonts w:cstheme="minorHAnsi"/>
              </w:rPr>
              <w:t xml:space="preserve">             </w:t>
            </w:r>
            <w:r w:rsidR="00F846D3">
              <w:rPr>
                <w:rFonts w:cstheme="minorHAnsi"/>
              </w:rPr>
              <w:t xml:space="preserve">    </w:t>
            </w:r>
            <w:r w:rsidR="00204C71">
              <w:rPr>
                <w:rFonts w:cstheme="minorHAnsi"/>
              </w:rPr>
              <w:t xml:space="preserve">        </w:t>
            </w:r>
            <w:r w:rsidRPr="00CE1721">
              <w:rPr>
                <w:rFonts w:cstheme="minorHAnsi"/>
              </w:rPr>
              <w:t>27.248</w:t>
            </w:r>
          </w:p>
        </w:tc>
      </w:tr>
      <w:tr w:rsidR="00CE1721" w:rsidTr="00686A2B">
        <w:trPr>
          <w:trHeight w:hRule="exact" w:val="340"/>
        </w:trPr>
        <w:tc>
          <w:tcPr>
            <w:tcW w:w="2410" w:type="dxa"/>
            <w:vMerge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CE1721" w:rsidRDefault="00CE1721" w:rsidP="00217D8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CE1721" w:rsidRDefault="00CE1721" w:rsidP="0039176B">
            <w:pPr>
              <w:pStyle w:val="a4"/>
              <w:numPr>
                <w:ilvl w:val="0"/>
                <w:numId w:val="6"/>
              </w:numPr>
              <w:ind w:left="263" w:hanging="263"/>
            </w:pPr>
            <w:r w:rsidRPr="0049034A">
              <w:t xml:space="preserve">1.001 – 2.000 </w:t>
            </w:r>
            <w:r w:rsidRPr="00465BC8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      </w:t>
            </w:r>
            <w:r w:rsidR="0039176B">
              <w:rPr>
                <w:rFonts w:cstheme="minorHAnsi"/>
              </w:rPr>
              <w:t xml:space="preserve">         </w:t>
            </w:r>
            <w:r w:rsidRPr="00CE1721">
              <w:rPr>
                <w:rFonts w:cstheme="minorHAnsi"/>
                <w:b/>
              </w:rPr>
              <w:t>→</w:t>
            </w:r>
            <w:r>
              <w:rPr>
                <w:rFonts w:cstheme="minorHAnsi"/>
              </w:rPr>
              <w:t xml:space="preserve">            </w:t>
            </w:r>
            <w:r w:rsidR="00F846D3">
              <w:rPr>
                <w:rFonts w:cstheme="minorHAnsi"/>
              </w:rPr>
              <w:t xml:space="preserve">  </w:t>
            </w:r>
            <w:r w:rsidR="00EA7A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204C71">
              <w:rPr>
                <w:rFonts w:cstheme="minorHAnsi"/>
              </w:rPr>
              <w:t xml:space="preserve">       </w:t>
            </w:r>
            <w:r w:rsidR="00F846D3">
              <w:rPr>
                <w:rFonts w:cstheme="minorHAnsi"/>
              </w:rPr>
              <w:t xml:space="preserve"> </w:t>
            </w:r>
            <w:r w:rsidRPr="00CE1721">
              <w:rPr>
                <w:rFonts w:cstheme="minorHAnsi"/>
              </w:rPr>
              <w:t xml:space="preserve">25.743 </w:t>
            </w:r>
          </w:p>
        </w:tc>
      </w:tr>
      <w:tr w:rsidR="000E5390" w:rsidTr="00686A2B">
        <w:trPr>
          <w:trHeight w:val="416"/>
        </w:trPr>
        <w:tc>
          <w:tcPr>
            <w:tcW w:w="2410" w:type="dxa"/>
            <w:vMerge w:val="restart"/>
            <w:tcBorders>
              <w:top w:val="threeDEmboss" w:sz="2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0E5390" w:rsidRPr="00EA7A56" w:rsidRDefault="000E5390" w:rsidP="00217D84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  <w:r w:rsidRPr="00EA7A56">
              <w:rPr>
                <w:b/>
                <w:sz w:val="24"/>
                <w:szCs w:val="24"/>
              </w:rPr>
              <w:t>Κλιμάκια με τα υψηλότερα καταγεγραμμένα οφειλόμενα ποσά</w:t>
            </w:r>
          </w:p>
        </w:tc>
        <w:tc>
          <w:tcPr>
            <w:tcW w:w="2837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0E5390" w:rsidRPr="000E5390" w:rsidRDefault="000E5390" w:rsidP="00847497">
            <w:pPr>
              <w:tabs>
                <w:tab w:val="left" w:pos="223"/>
              </w:tabs>
              <w:rPr>
                <w:b/>
              </w:rPr>
            </w:pPr>
            <w:r w:rsidRPr="000E5390">
              <w:rPr>
                <w:b/>
              </w:rPr>
              <w:t xml:space="preserve">   Κλιμάκια οφειλών</w:t>
            </w:r>
          </w:p>
        </w:tc>
        <w:tc>
          <w:tcPr>
            <w:tcW w:w="3259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B8CCE4" w:themeFill="accent1" w:themeFillTint="66"/>
          </w:tcPr>
          <w:p w:rsidR="000E5390" w:rsidRPr="000E5390" w:rsidRDefault="000E5390" w:rsidP="000E5390">
            <w:pPr>
              <w:tabs>
                <w:tab w:val="left" w:pos="1185"/>
              </w:tabs>
              <w:jc w:val="center"/>
              <w:rPr>
                <w:b/>
              </w:rPr>
            </w:pPr>
            <w:r w:rsidRPr="000E5390">
              <w:rPr>
                <w:b/>
              </w:rPr>
              <w:t>Οφειλόμενα</w:t>
            </w:r>
          </w:p>
          <w:p w:rsidR="000E5390" w:rsidRPr="000E5390" w:rsidRDefault="000E5390" w:rsidP="000E5390">
            <w:pPr>
              <w:jc w:val="center"/>
              <w:rPr>
                <w:rFonts w:cstheme="minorHAnsi"/>
                <w:b/>
              </w:rPr>
            </w:pPr>
            <w:r w:rsidRPr="000E5390">
              <w:rPr>
                <w:b/>
              </w:rPr>
              <w:t>ποσά</w:t>
            </w:r>
          </w:p>
        </w:tc>
      </w:tr>
      <w:tr w:rsidR="000E5390" w:rsidTr="00686A2B">
        <w:trPr>
          <w:trHeight w:val="239"/>
        </w:trPr>
        <w:tc>
          <w:tcPr>
            <w:tcW w:w="2410" w:type="dxa"/>
            <w:vMerge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0E5390" w:rsidRDefault="000E5390" w:rsidP="00217D8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threeDEmboss" w:sz="24" w:space="0" w:color="auto"/>
            </w:tcBorders>
          </w:tcPr>
          <w:p w:rsidR="000E5390" w:rsidRPr="000E5390" w:rsidRDefault="000E5390" w:rsidP="0039176B">
            <w:pPr>
              <w:pStyle w:val="a4"/>
              <w:numPr>
                <w:ilvl w:val="0"/>
                <w:numId w:val="6"/>
              </w:numPr>
              <w:ind w:left="263" w:hanging="284"/>
            </w:pPr>
            <w:r>
              <w:t xml:space="preserve">100.000 και άνω         </w:t>
            </w:r>
            <w:r w:rsidR="0039176B">
              <w:t xml:space="preserve">       </w:t>
            </w:r>
            <w:r w:rsidRPr="000E5390">
              <w:rPr>
                <w:rFonts w:cstheme="minorHAnsi"/>
                <w:b/>
              </w:rPr>
              <w:t>→</w:t>
            </w:r>
            <w:r>
              <w:rPr>
                <w:rFonts w:cstheme="minorHAnsi"/>
              </w:rPr>
              <w:t xml:space="preserve">           </w:t>
            </w:r>
            <w:r w:rsidR="00F31CB3">
              <w:rPr>
                <w:rFonts w:cstheme="minorHAnsi"/>
                <w:lang w:val="en-US"/>
              </w:rPr>
              <w:t xml:space="preserve"> </w:t>
            </w:r>
            <w:r w:rsidR="00EA7A56">
              <w:rPr>
                <w:rFonts w:cstheme="minorHAnsi"/>
              </w:rPr>
              <w:t xml:space="preserve"> </w:t>
            </w:r>
            <w:r w:rsidR="002E2E48">
              <w:rPr>
                <w:rFonts w:cstheme="minorHAnsi"/>
              </w:rPr>
              <w:t xml:space="preserve">  </w:t>
            </w:r>
            <w:r w:rsidR="00204C71">
              <w:rPr>
                <w:rFonts w:cstheme="minorHAnsi"/>
              </w:rPr>
              <w:t xml:space="preserve">         </w:t>
            </w:r>
            <w:r>
              <w:rPr>
                <w:rFonts w:cstheme="minorHAnsi"/>
              </w:rPr>
              <w:t xml:space="preserve"> </w:t>
            </w:r>
            <w:r w:rsidRPr="000E5390">
              <w:rPr>
                <w:rFonts w:cstheme="minorHAnsi"/>
              </w:rPr>
              <w:t>1,1 δις €</w:t>
            </w:r>
          </w:p>
        </w:tc>
      </w:tr>
      <w:tr w:rsidR="000E5390" w:rsidTr="00686A2B">
        <w:trPr>
          <w:trHeight w:val="239"/>
        </w:trPr>
        <w:tc>
          <w:tcPr>
            <w:tcW w:w="2410" w:type="dxa"/>
            <w:vMerge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0E5390" w:rsidRDefault="000E5390" w:rsidP="00217D8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uble" w:sz="4" w:space="0" w:color="auto"/>
              <w:bottom w:val="nil"/>
              <w:right w:val="threeDEmboss" w:sz="24" w:space="0" w:color="auto"/>
            </w:tcBorders>
          </w:tcPr>
          <w:p w:rsidR="000E5390" w:rsidRPr="000E5390" w:rsidRDefault="000E5390" w:rsidP="0039176B">
            <w:pPr>
              <w:pStyle w:val="a4"/>
              <w:numPr>
                <w:ilvl w:val="0"/>
                <w:numId w:val="6"/>
              </w:numPr>
              <w:tabs>
                <w:tab w:val="left" w:pos="223"/>
              </w:tabs>
              <w:ind w:left="263" w:hanging="263"/>
            </w:pPr>
            <w:r>
              <w:t>35.001</w:t>
            </w:r>
            <w:r w:rsidRPr="0049034A">
              <w:t xml:space="preserve"> - </w:t>
            </w:r>
            <w:r>
              <w:t>40</w:t>
            </w:r>
            <w:r w:rsidRPr="0049034A">
              <w:t xml:space="preserve">.000 </w:t>
            </w:r>
            <w:r w:rsidRPr="00465BC8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   </w:t>
            </w:r>
            <w:r w:rsidR="0039176B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</w:t>
            </w:r>
            <w:r w:rsidRPr="000E5390">
              <w:rPr>
                <w:rFonts w:cstheme="minorHAnsi"/>
                <w:b/>
              </w:rPr>
              <w:t>→</w:t>
            </w:r>
            <w:r>
              <w:rPr>
                <w:rFonts w:cstheme="minorHAnsi"/>
              </w:rPr>
              <w:t xml:space="preserve">        </w:t>
            </w:r>
            <w:r w:rsidR="00F31CB3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2E2E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2E2E48">
              <w:rPr>
                <w:rFonts w:cstheme="minorHAnsi"/>
              </w:rPr>
              <w:t xml:space="preserve"> </w:t>
            </w:r>
            <w:r w:rsidR="00F31CB3">
              <w:rPr>
                <w:rFonts w:cstheme="minorHAnsi"/>
                <w:lang w:val="en-US"/>
              </w:rPr>
              <w:t xml:space="preserve"> </w:t>
            </w:r>
            <w:r w:rsidR="00204C71">
              <w:rPr>
                <w:rFonts w:cstheme="minorHAnsi"/>
              </w:rPr>
              <w:t xml:space="preserve">        </w:t>
            </w:r>
            <w:r w:rsidR="00EA7A56">
              <w:rPr>
                <w:rFonts w:cstheme="minorHAnsi"/>
              </w:rPr>
              <w:t xml:space="preserve"> </w:t>
            </w:r>
            <w:r w:rsidRPr="000E5390">
              <w:rPr>
                <w:rFonts w:cstheme="minorHAnsi"/>
              </w:rPr>
              <w:t>562,9 εκ. €</w:t>
            </w:r>
          </w:p>
        </w:tc>
      </w:tr>
      <w:tr w:rsidR="000E5390" w:rsidTr="00686A2B">
        <w:trPr>
          <w:trHeight w:val="239"/>
        </w:trPr>
        <w:tc>
          <w:tcPr>
            <w:tcW w:w="2410" w:type="dxa"/>
            <w:vMerge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0E5390" w:rsidRDefault="000E5390" w:rsidP="00217D8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uble" w:sz="4" w:space="0" w:color="auto"/>
              <w:bottom w:val="nil"/>
              <w:right w:val="threeDEmboss" w:sz="24" w:space="0" w:color="auto"/>
            </w:tcBorders>
          </w:tcPr>
          <w:p w:rsidR="000E5390" w:rsidRPr="000E5390" w:rsidRDefault="00204C71" w:rsidP="0039176B">
            <w:pPr>
              <w:pStyle w:val="a4"/>
              <w:numPr>
                <w:ilvl w:val="0"/>
                <w:numId w:val="6"/>
              </w:numPr>
              <w:tabs>
                <w:tab w:val="left" w:pos="223"/>
              </w:tabs>
              <w:ind w:left="263" w:hanging="263"/>
            </w:pPr>
            <w:r>
              <w:t xml:space="preserve"> 40.001 </w:t>
            </w:r>
            <w:r w:rsidR="000E5390" w:rsidRPr="0049034A">
              <w:t>-</w:t>
            </w:r>
            <w:r w:rsidR="000E5390">
              <w:t xml:space="preserve"> 4</w:t>
            </w:r>
            <w:r w:rsidR="000E5390" w:rsidRPr="0049034A">
              <w:t xml:space="preserve">5.000 </w:t>
            </w:r>
            <w:r w:rsidR="000E5390" w:rsidRPr="00465BC8">
              <w:rPr>
                <w:rFonts w:cstheme="minorHAnsi"/>
              </w:rPr>
              <w:t>€</w:t>
            </w:r>
            <w:r w:rsidR="000E5390">
              <w:rPr>
                <w:rFonts w:cstheme="minorHAnsi"/>
              </w:rPr>
              <w:t xml:space="preserve">     </w:t>
            </w:r>
            <w:r w:rsidR="00CE1721">
              <w:rPr>
                <w:rFonts w:cstheme="minorHAnsi"/>
              </w:rPr>
              <w:t xml:space="preserve"> </w:t>
            </w:r>
            <w:r w:rsidR="000E5390">
              <w:rPr>
                <w:rFonts w:cstheme="minorHAnsi"/>
              </w:rPr>
              <w:t xml:space="preserve"> </w:t>
            </w:r>
            <w:r w:rsidR="0039176B">
              <w:rPr>
                <w:rFonts w:cstheme="minorHAnsi"/>
              </w:rPr>
              <w:t xml:space="preserve">      </w:t>
            </w:r>
            <w:r w:rsidR="000E5390">
              <w:rPr>
                <w:rFonts w:cstheme="minorHAnsi"/>
              </w:rPr>
              <w:t xml:space="preserve"> </w:t>
            </w:r>
            <w:r w:rsidR="000E5390" w:rsidRPr="000E5390">
              <w:rPr>
                <w:rFonts w:cstheme="minorHAnsi"/>
                <w:b/>
              </w:rPr>
              <w:t>→</w:t>
            </w:r>
            <w:r w:rsidR="000E5390">
              <w:rPr>
                <w:rFonts w:cstheme="minorHAnsi"/>
              </w:rPr>
              <w:t xml:space="preserve">      </w:t>
            </w:r>
            <w:r w:rsidR="00317311">
              <w:rPr>
                <w:rFonts w:cstheme="minorHAnsi"/>
              </w:rPr>
              <w:t xml:space="preserve"> </w:t>
            </w:r>
            <w:r w:rsidR="000E5390">
              <w:rPr>
                <w:rFonts w:cstheme="minorHAnsi"/>
              </w:rPr>
              <w:t xml:space="preserve">   </w:t>
            </w:r>
            <w:r w:rsidR="00F31CB3">
              <w:rPr>
                <w:rFonts w:cstheme="minorHAnsi"/>
                <w:lang w:val="en-US"/>
              </w:rPr>
              <w:t xml:space="preserve"> </w:t>
            </w:r>
            <w:r w:rsidR="00EA7A56">
              <w:rPr>
                <w:rFonts w:cstheme="minorHAnsi"/>
              </w:rPr>
              <w:t xml:space="preserve"> </w:t>
            </w:r>
            <w:r w:rsidR="002E2E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</w:t>
            </w:r>
            <w:r w:rsidR="00EA7A56">
              <w:rPr>
                <w:rFonts w:cstheme="minorHAnsi"/>
              </w:rPr>
              <w:t xml:space="preserve"> </w:t>
            </w:r>
            <w:r w:rsidR="000E5390" w:rsidRPr="000E5390">
              <w:rPr>
                <w:rFonts w:cstheme="minorHAnsi"/>
              </w:rPr>
              <w:t>547,05 εκ. €</w:t>
            </w:r>
          </w:p>
        </w:tc>
      </w:tr>
      <w:tr w:rsidR="000E5390" w:rsidTr="00686A2B">
        <w:trPr>
          <w:trHeight w:val="239"/>
        </w:trPr>
        <w:tc>
          <w:tcPr>
            <w:tcW w:w="2410" w:type="dxa"/>
            <w:vMerge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0E5390" w:rsidRDefault="000E5390" w:rsidP="00217D8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uble" w:sz="4" w:space="0" w:color="auto"/>
              <w:bottom w:val="nil"/>
              <w:right w:val="threeDEmboss" w:sz="24" w:space="0" w:color="auto"/>
            </w:tcBorders>
          </w:tcPr>
          <w:p w:rsidR="000E5390" w:rsidRPr="000E5390" w:rsidRDefault="000E5390" w:rsidP="0039176B">
            <w:pPr>
              <w:pStyle w:val="a4"/>
              <w:numPr>
                <w:ilvl w:val="0"/>
                <w:numId w:val="6"/>
              </w:numPr>
              <w:ind w:left="263" w:hanging="263"/>
            </w:pPr>
            <w:r>
              <w:t>30</w:t>
            </w:r>
            <w:r w:rsidRPr="0049034A">
              <w:t xml:space="preserve">.001 – </w:t>
            </w:r>
            <w:r>
              <w:t>35</w:t>
            </w:r>
            <w:r w:rsidRPr="0049034A">
              <w:t xml:space="preserve">.000 </w:t>
            </w:r>
            <w:r w:rsidRPr="00465BC8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</w:t>
            </w:r>
            <w:r w:rsidR="00CE172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39176B">
              <w:rPr>
                <w:rFonts w:cstheme="minorHAnsi"/>
              </w:rPr>
              <w:t xml:space="preserve">      </w:t>
            </w:r>
            <w:r w:rsidRPr="000E5390">
              <w:rPr>
                <w:rFonts w:cstheme="minorHAnsi"/>
                <w:b/>
              </w:rPr>
              <w:t>→</w:t>
            </w:r>
            <w:r>
              <w:rPr>
                <w:rFonts w:cstheme="minorHAnsi"/>
              </w:rPr>
              <w:t xml:space="preserve">         </w:t>
            </w:r>
            <w:r w:rsidR="00F31CB3">
              <w:rPr>
                <w:rFonts w:cstheme="minorHAnsi"/>
                <w:lang w:val="en-US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="002E2E48">
              <w:rPr>
                <w:rFonts w:cstheme="minorHAnsi"/>
              </w:rPr>
              <w:t xml:space="preserve"> </w:t>
            </w:r>
            <w:r w:rsidR="00204C71">
              <w:rPr>
                <w:rFonts w:cstheme="minorHAnsi"/>
              </w:rPr>
              <w:t xml:space="preserve">         </w:t>
            </w:r>
            <w:r w:rsidR="00EA7A56">
              <w:rPr>
                <w:rFonts w:cstheme="minorHAnsi"/>
              </w:rPr>
              <w:t xml:space="preserve"> </w:t>
            </w:r>
            <w:r w:rsidR="002E2E48">
              <w:rPr>
                <w:rFonts w:cstheme="minorHAnsi"/>
              </w:rPr>
              <w:t xml:space="preserve"> </w:t>
            </w:r>
            <w:r w:rsidRPr="000E5390">
              <w:rPr>
                <w:rFonts w:cstheme="minorHAnsi"/>
              </w:rPr>
              <w:t>544,0 εκ. €</w:t>
            </w:r>
          </w:p>
        </w:tc>
      </w:tr>
      <w:tr w:rsidR="000E5390" w:rsidTr="00686A2B">
        <w:trPr>
          <w:trHeight w:val="239"/>
        </w:trPr>
        <w:tc>
          <w:tcPr>
            <w:tcW w:w="2410" w:type="dxa"/>
            <w:vMerge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0E5390" w:rsidRDefault="000E5390" w:rsidP="00217D8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0E5390" w:rsidRPr="000E5390" w:rsidRDefault="000E5390" w:rsidP="00204C71">
            <w:pPr>
              <w:pStyle w:val="a4"/>
              <w:numPr>
                <w:ilvl w:val="0"/>
                <w:numId w:val="6"/>
              </w:numPr>
              <w:ind w:left="263" w:hanging="263"/>
            </w:pPr>
            <w:r>
              <w:t>25</w:t>
            </w:r>
            <w:r w:rsidRPr="0049034A">
              <w:t xml:space="preserve">.001 – </w:t>
            </w:r>
            <w:r>
              <w:t>30</w:t>
            </w:r>
            <w:r w:rsidRPr="0049034A">
              <w:t xml:space="preserve">.000 </w:t>
            </w:r>
            <w:r w:rsidRPr="00465BC8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   </w:t>
            </w:r>
            <w:r w:rsidR="0039176B">
              <w:rPr>
                <w:rFonts w:cstheme="minorHAnsi"/>
              </w:rPr>
              <w:t xml:space="preserve">      </w:t>
            </w:r>
            <w:r w:rsidRPr="000E5390">
              <w:rPr>
                <w:rFonts w:cstheme="minorHAnsi"/>
                <w:b/>
              </w:rPr>
              <w:t>→</w:t>
            </w:r>
            <w:r>
              <w:rPr>
                <w:rFonts w:cstheme="minorHAnsi"/>
              </w:rPr>
              <w:t xml:space="preserve">        </w:t>
            </w:r>
            <w:r w:rsidR="00F31CB3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F31CB3">
              <w:rPr>
                <w:rFonts w:cstheme="minorHAnsi"/>
                <w:lang w:val="en-US"/>
              </w:rPr>
              <w:t xml:space="preserve"> </w:t>
            </w:r>
            <w:r w:rsidR="002E2E48">
              <w:rPr>
                <w:rFonts w:cstheme="minorHAnsi"/>
              </w:rPr>
              <w:t xml:space="preserve"> </w:t>
            </w:r>
            <w:r w:rsidR="00204C71">
              <w:rPr>
                <w:rFonts w:cstheme="minorHAnsi"/>
              </w:rPr>
              <w:t xml:space="preserve">        </w:t>
            </w:r>
            <w:r w:rsidR="00EA7A56">
              <w:rPr>
                <w:rFonts w:cstheme="minorHAnsi"/>
              </w:rPr>
              <w:t xml:space="preserve"> </w:t>
            </w:r>
            <w:r w:rsidR="00E70B6B">
              <w:rPr>
                <w:rFonts w:cstheme="minorHAnsi"/>
              </w:rPr>
              <w:t xml:space="preserve"> </w:t>
            </w:r>
            <w:r w:rsidRPr="000E5390">
              <w:rPr>
                <w:rFonts w:cstheme="minorHAnsi"/>
              </w:rPr>
              <w:t>516,83 εκ. €</w:t>
            </w:r>
          </w:p>
        </w:tc>
      </w:tr>
    </w:tbl>
    <w:p w:rsidR="00F416F9" w:rsidRDefault="00F416F9" w:rsidP="00204C71">
      <w:pPr>
        <w:tabs>
          <w:tab w:val="left" w:pos="1185"/>
        </w:tabs>
        <w:spacing w:line="240" w:lineRule="auto"/>
        <w:rPr>
          <w:sz w:val="26"/>
          <w:szCs w:val="26"/>
        </w:rPr>
      </w:pPr>
    </w:p>
    <w:p w:rsidR="0097092C" w:rsidRDefault="00204C71" w:rsidP="00816684">
      <w:pPr>
        <w:tabs>
          <w:tab w:val="left" w:pos="1185"/>
        </w:tabs>
        <w:spacing w:line="240" w:lineRule="auto"/>
        <w:rPr>
          <w:b/>
          <w:i/>
          <w:sz w:val="26"/>
          <w:szCs w:val="26"/>
        </w:rPr>
      </w:pPr>
      <w:r w:rsidRPr="00204C71">
        <w:rPr>
          <w:b/>
          <w:i/>
          <w:sz w:val="26"/>
          <w:szCs w:val="26"/>
        </w:rPr>
        <w:t>*</w:t>
      </w:r>
      <w:r w:rsidRPr="00202F45">
        <w:rPr>
          <w:b/>
          <w:i/>
        </w:rPr>
        <w:t>Υποσημείωση για τα στοιχεία του Πίνακα 2</w:t>
      </w:r>
      <w:r w:rsidRPr="00202F45">
        <w:rPr>
          <w:b/>
          <w:i/>
          <w:sz w:val="26"/>
          <w:szCs w:val="26"/>
        </w:rPr>
        <w:t>:</w:t>
      </w:r>
      <w:r w:rsidRPr="00204C71">
        <w:rPr>
          <w:b/>
          <w:i/>
          <w:sz w:val="26"/>
          <w:szCs w:val="26"/>
        </w:rPr>
        <w:t xml:space="preserve"> </w:t>
      </w:r>
    </w:p>
    <w:p w:rsidR="00204C71" w:rsidRPr="00816684" w:rsidRDefault="0097092C" w:rsidP="0097092C">
      <w:pPr>
        <w:tabs>
          <w:tab w:val="left" w:pos="1185"/>
        </w:tabs>
        <w:spacing w:line="240" w:lineRule="auto"/>
        <w:jc w:val="both"/>
        <w:rPr>
          <w:i/>
          <w:sz w:val="21"/>
          <w:szCs w:val="21"/>
        </w:rPr>
      </w:pPr>
      <w:r w:rsidRPr="0097092C">
        <w:rPr>
          <w:b/>
          <w:i/>
        </w:rPr>
        <w:t>1.</w:t>
      </w:r>
      <w:r>
        <w:rPr>
          <w:i/>
          <w:sz w:val="21"/>
          <w:szCs w:val="21"/>
        </w:rPr>
        <w:t xml:space="preserve"> </w:t>
      </w:r>
      <w:r w:rsidR="00204C71" w:rsidRPr="00202F45">
        <w:rPr>
          <w:i/>
          <w:sz w:val="21"/>
          <w:szCs w:val="21"/>
        </w:rPr>
        <w:t>Για τους οφειλέτες τα χρέη  των οποίων έχουν βεβαιωθεί στο Κ.Ε.Α.Ο. τα στοιχεία περιλαμβάνουν και 24.805 ενεργές ρυθμίσεις με αντίστοιχο κεφαλαιοποιημένο ποσό 420,7 εκ.</w:t>
      </w:r>
      <w:r w:rsidR="00816684">
        <w:rPr>
          <w:rFonts w:cstheme="minorHAnsi"/>
          <w:i/>
          <w:sz w:val="21"/>
          <w:szCs w:val="21"/>
        </w:rPr>
        <w:t>€</w:t>
      </w:r>
      <w:r w:rsidR="00202F45">
        <w:rPr>
          <w:i/>
          <w:sz w:val="21"/>
          <w:szCs w:val="21"/>
        </w:rPr>
        <w:t xml:space="preserve"> – Εξαίρεση τα στοιχεία οφειλετών/οφειλών σε ΟΑΕΕ στα οποία δεν περιλαμβάνονται οι υπαχθέντες σε ρύθμιση.</w:t>
      </w:r>
    </w:p>
    <w:p w:rsidR="00816684" w:rsidRPr="00816684" w:rsidRDefault="0097092C" w:rsidP="0097092C">
      <w:pPr>
        <w:tabs>
          <w:tab w:val="left" w:pos="1185"/>
        </w:tabs>
        <w:spacing w:line="240" w:lineRule="auto"/>
        <w:jc w:val="both"/>
        <w:rPr>
          <w:i/>
          <w:sz w:val="21"/>
          <w:szCs w:val="21"/>
        </w:rPr>
      </w:pPr>
      <w:r w:rsidRPr="0097092C">
        <w:rPr>
          <w:b/>
          <w:i/>
        </w:rPr>
        <w:t>2.</w:t>
      </w:r>
      <w:r>
        <w:rPr>
          <w:i/>
          <w:sz w:val="21"/>
          <w:szCs w:val="21"/>
        </w:rPr>
        <w:t xml:space="preserve"> </w:t>
      </w:r>
      <w:r w:rsidR="00816684">
        <w:rPr>
          <w:i/>
          <w:sz w:val="21"/>
          <w:szCs w:val="21"/>
        </w:rPr>
        <w:t xml:space="preserve">Οι ενεργοί οφειλέτες του Ταμείου αποτελούν περίπου το 42% (δεν περιλαμβάνονται όσοι έχουν υπαχθεί σε ρύθμιση) του συνόλου των ενεργών ασφαλισμένων, ενώ το υπόλοιπο 58% είναι συνεπές με τις τρέχουσες υποχρεώσεις του και δε διαθέτει ληξιπρόθεσμες οφειλές. Οι διακοπέντες οφειλέτες </w:t>
      </w:r>
      <w:r>
        <w:rPr>
          <w:i/>
          <w:sz w:val="21"/>
          <w:szCs w:val="21"/>
        </w:rPr>
        <w:t>(</w:t>
      </w:r>
      <w:r w:rsidR="00816684">
        <w:rPr>
          <w:i/>
          <w:sz w:val="21"/>
          <w:szCs w:val="21"/>
        </w:rPr>
        <w:t>232.290</w:t>
      </w:r>
      <w:r>
        <w:rPr>
          <w:i/>
          <w:sz w:val="21"/>
          <w:szCs w:val="21"/>
        </w:rPr>
        <w:t>)</w:t>
      </w:r>
      <w:r w:rsidR="00816684">
        <w:rPr>
          <w:i/>
          <w:sz w:val="21"/>
          <w:szCs w:val="21"/>
        </w:rPr>
        <w:t xml:space="preserve">, με ληξιπρόθεσμες οφειλές 2,4 δις </w:t>
      </w:r>
      <w:r w:rsidR="00816684">
        <w:rPr>
          <w:rFonts w:cstheme="minorHAnsi"/>
          <w:i/>
          <w:sz w:val="21"/>
          <w:szCs w:val="21"/>
        </w:rPr>
        <w:t>€</w:t>
      </w:r>
      <w:r w:rsidR="00570672">
        <w:rPr>
          <w:rFonts w:cstheme="minorHAnsi"/>
          <w:i/>
          <w:sz w:val="21"/>
          <w:szCs w:val="21"/>
        </w:rPr>
        <w:t xml:space="preserve">, </w:t>
      </w:r>
      <w:r w:rsidR="00570672">
        <w:rPr>
          <w:i/>
          <w:sz w:val="21"/>
          <w:szCs w:val="21"/>
        </w:rPr>
        <w:t xml:space="preserve"> δεν θα πρέπει να θεωρούνται μέρος των ενεργών ασφαλισμένων (717.890) αλλά αντίθετα θα πρέπει να λογίζονται επιπρόσθετα στον εν λόγω αριθμό.</w:t>
      </w:r>
    </w:p>
    <w:p w:rsidR="00F66181" w:rsidRPr="00202F45" w:rsidRDefault="00F66181" w:rsidP="00202F45">
      <w:pPr>
        <w:tabs>
          <w:tab w:val="left" w:pos="1185"/>
        </w:tabs>
        <w:spacing w:line="240" w:lineRule="auto"/>
        <w:jc w:val="center"/>
        <w:rPr>
          <w:i/>
          <w:sz w:val="21"/>
          <w:szCs w:val="21"/>
        </w:rPr>
      </w:pPr>
    </w:p>
    <w:tbl>
      <w:tblPr>
        <w:tblStyle w:val="a3"/>
        <w:tblW w:w="8472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8472"/>
      </w:tblGrid>
      <w:tr w:rsidR="00204C71" w:rsidTr="00204C71">
        <w:trPr>
          <w:trHeight w:val="183"/>
        </w:trPr>
        <w:tc>
          <w:tcPr>
            <w:tcW w:w="8472" w:type="dxa"/>
            <w:tcBorders>
              <w:top w:val="threeDEngrave" w:sz="24" w:space="0" w:color="auto"/>
              <w:bottom w:val="threeDEngrave" w:sz="24" w:space="0" w:color="auto"/>
            </w:tcBorders>
            <w:shd w:val="clear" w:color="auto" w:fill="BFBFBF" w:themeFill="background1" w:themeFillShade="BF"/>
          </w:tcPr>
          <w:p w:rsidR="00FD5E28" w:rsidRPr="00847497" w:rsidRDefault="00204C71" w:rsidP="00F66181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Πίνακας 3</w:t>
            </w:r>
          </w:p>
        </w:tc>
      </w:tr>
      <w:tr w:rsidR="00847497" w:rsidTr="00204C71">
        <w:trPr>
          <w:trHeight w:val="325"/>
        </w:trPr>
        <w:tc>
          <w:tcPr>
            <w:tcW w:w="8472" w:type="dxa"/>
            <w:tcBorders>
              <w:top w:val="threeDEngrave" w:sz="24" w:space="0" w:color="auto"/>
              <w:bottom w:val="double" w:sz="4" w:space="0" w:color="auto"/>
            </w:tcBorders>
            <w:shd w:val="clear" w:color="auto" w:fill="B8CCE4" w:themeFill="accent1" w:themeFillTint="66"/>
          </w:tcPr>
          <w:p w:rsidR="00847497" w:rsidRPr="0049484C" w:rsidRDefault="00847497" w:rsidP="0049484C">
            <w:pPr>
              <w:tabs>
                <w:tab w:val="left" w:pos="1185"/>
              </w:tabs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47497">
              <w:rPr>
                <w:b/>
                <w:sz w:val="24"/>
                <w:szCs w:val="24"/>
              </w:rPr>
              <w:t>Αιτήσεις υπαγωγής σε χαμηλότερη ασφαλιστική κατηγορία</w:t>
            </w:r>
            <w:r>
              <w:rPr>
                <w:sz w:val="24"/>
                <w:szCs w:val="24"/>
              </w:rPr>
              <w:t xml:space="preserve"> </w:t>
            </w:r>
            <w:r w:rsidRPr="00847497">
              <w:rPr>
                <w:i/>
                <w:sz w:val="20"/>
                <w:szCs w:val="20"/>
              </w:rPr>
              <w:t>(έως 7/1/2016)</w:t>
            </w:r>
          </w:p>
        </w:tc>
      </w:tr>
      <w:tr w:rsidR="0049484C" w:rsidTr="00686A2B">
        <w:trPr>
          <w:trHeight w:val="1831"/>
        </w:trPr>
        <w:tc>
          <w:tcPr>
            <w:tcW w:w="8472" w:type="dxa"/>
            <w:tcBorders>
              <w:top w:val="double" w:sz="4" w:space="0" w:color="auto"/>
            </w:tcBorders>
            <w:vAlign w:val="center"/>
          </w:tcPr>
          <w:p w:rsidR="0049484C" w:rsidRDefault="0049484C" w:rsidP="00D01E4B">
            <w:pPr>
              <w:tabs>
                <w:tab w:val="left" w:pos="1185"/>
              </w:tabs>
              <w:spacing w:line="360" w:lineRule="auto"/>
              <w:jc w:val="center"/>
              <w:rPr>
                <w:b/>
                <w:i/>
                <w:u w:val="single"/>
              </w:rPr>
            </w:pPr>
            <w:r w:rsidRPr="00847497">
              <w:rPr>
                <w:i/>
                <w:u w:val="single"/>
              </w:rPr>
              <w:t xml:space="preserve">Συνολικός αριθμός: </w:t>
            </w:r>
            <w:r w:rsidRPr="00847497">
              <w:rPr>
                <w:b/>
                <w:i/>
                <w:u w:val="single"/>
              </w:rPr>
              <w:t>220.027:</w:t>
            </w:r>
          </w:p>
          <w:p w:rsidR="0049484C" w:rsidRDefault="0049484C" w:rsidP="0049484C">
            <w:pPr>
              <w:pStyle w:val="a4"/>
              <w:numPr>
                <w:ilvl w:val="0"/>
                <w:numId w:val="7"/>
              </w:numPr>
              <w:tabs>
                <w:tab w:val="left" w:pos="1185"/>
              </w:tabs>
              <w:spacing w:line="276" w:lineRule="auto"/>
              <w:jc w:val="center"/>
            </w:pPr>
            <w:r>
              <w:t xml:space="preserve">εκ των οποίων </w:t>
            </w:r>
            <w:r w:rsidRPr="00847497">
              <w:rPr>
                <w:b/>
              </w:rPr>
              <w:t>110.427</w:t>
            </w:r>
            <w:r>
              <w:t xml:space="preserve"> </w:t>
            </w:r>
            <w:r w:rsidRPr="00847497">
              <w:rPr>
                <w:i/>
                <w:sz w:val="20"/>
                <w:szCs w:val="20"/>
              </w:rPr>
              <w:t>(50,2%)</w:t>
            </w:r>
            <w:r>
              <w:t xml:space="preserve"> για μετάταξη στη 2</w:t>
            </w:r>
            <w:r w:rsidRPr="00847497">
              <w:rPr>
                <w:vertAlign w:val="superscript"/>
              </w:rPr>
              <w:t>η</w:t>
            </w:r>
            <w:r>
              <w:t xml:space="preserve"> χαμηλότερη κατηγορία</w:t>
            </w:r>
          </w:p>
          <w:p w:rsidR="0049484C" w:rsidRDefault="0049484C" w:rsidP="0049484C">
            <w:pPr>
              <w:pStyle w:val="a4"/>
              <w:numPr>
                <w:ilvl w:val="0"/>
                <w:numId w:val="7"/>
              </w:numPr>
              <w:tabs>
                <w:tab w:val="left" w:pos="1185"/>
              </w:tabs>
              <w:spacing w:line="276" w:lineRule="auto"/>
              <w:jc w:val="center"/>
            </w:pPr>
            <w:r>
              <w:t xml:space="preserve">εκ των οποίων </w:t>
            </w:r>
            <w:r w:rsidRPr="00847497">
              <w:rPr>
                <w:b/>
              </w:rPr>
              <w:t>62.842</w:t>
            </w:r>
            <w:r>
              <w:t xml:space="preserve"> </w:t>
            </w:r>
            <w:r w:rsidRPr="0084749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28,6%</w:t>
            </w:r>
            <w:r w:rsidRPr="00847497">
              <w:rPr>
                <w:i/>
                <w:sz w:val="20"/>
                <w:szCs w:val="20"/>
              </w:rPr>
              <w:t>)</w:t>
            </w:r>
            <w:r>
              <w:t xml:space="preserve">  για μετάταξη στη 3</w:t>
            </w:r>
            <w:r w:rsidRPr="00847497">
              <w:rPr>
                <w:vertAlign w:val="superscript"/>
              </w:rPr>
              <w:t>η</w:t>
            </w:r>
            <w:r>
              <w:t xml:space="preserve"> χαμηλότερη κατηγορία</w:t>
            </w:r>
          </w:p>
          <w:p w:rsidR="0049484C" w:rsidRPr="0049484C" w:rsidRDefault="0049484C" w:rsidP="0049484C">
            <w:pPr>
              <w:pStyle w:val="a4"/>
              <w:numPr>
                <w:ilvl w:val="0"/>
                <w:numId w:val="7"/>
              </w:numPr>
              <w:tabs>
                <w:tab w:val="left" w:pos="1185"/>
              </w:tabs>
              <w:spacing w:line="276" w:lineRule="auto"/>
              <w:jc w:val="center"/>
            </w:pPr>
            <w:r>
              <w:t xml:space="preserve">εκ των οποίων </w:t>
            </w:r>
            <w:r w:rsidRPr="0049484C">
              <w:rPr>
                <w:b/>
              </w:rPr>
              <w:t>46.758</w:t>
            </w:r>
            <w:r>
              <w:t xml:space="preserve"> </w:t>
            </w:r>
            <w:r w:rsidRPr="0049484C">
              <w:rPr>
                <w:i/>
                <w:sz w:val="20"/>
                <w:szCs w:val="20"/>
              </w:rPr>
              <w:t>(21,2%)</w:t>
            </w:r>
            <w:r>
              <w:t xml:space="preserve"> για μετάταξη στην αμέσως προηγούμενη κατηγορία</w:t>
            </w:r>
          </w:p>
        </w:tc>
      </w:tr>
    </w:tbl>
    <w:p w:rsidR="00786093" w:rsidRDefault="00786093" w:rsidP="00007412">
      <w:pPr>
        <w:tabs>
          <w:tab w:val="left" w:pos="1185"/>
        </w:tabs>
        <w:rPr>
          <w:sz w:val="26"/>
          <w:szCs w:val="26"/>
        </w:rPr>
      </w:pPr>
    </w:p>
    <w:p w:rsidR="003D4B31" w:rsidRDefault="003D4B31" w:rsidP="00007412">
      <w:pPr>
        <w:tabs>
          <w:tab w:val="left" w:pos="1185"/>
        </w:tabs>
        <w:rPr>
          <w:sz w:val="26"/>
          <w:szCs w:val="26"/>
        </w:rPr>
      </w:pPr>
    </w:p>
    <w:p w:rsidR="00FD5E28" w:rsidRDefault="00FD5E28" w:rsidP="00007412">
      <w:pPr>
        <w:tabs>
          <w:tab w:val="left" w:pos="1185"/>
        </w:tabs>
        <w:rPr>
          <w:sz w:val="26"/>
          <w:szCs w:val="26"/>
        </w:rPr>
      </w:pPr>
    </w:p>
    <w:tbl>
      <w:tblPr>
        <w:tblStyle w:val="a3"/>
        <w:tblW w:w="9650" w:type="dxa"/>
        <w:tblInd w:w="-31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ngrave" w:sz="24" w:space="0" w:color="auto"/>
        </w:tblBorders>
        <w:tblLook w:val="04A0"/>
      </w:tblPr>
      <w:tblGrid>
        <w:gridCol w:w="3085"/>
        <w:gridCol w:w="1662"/>
        <w:gridCol w:w="1662"/>
        <w:gridCol w:w="1603"/>
        <w:gridCol w:w="1638"/>
      </w:tblGrid>
      <w:tr w:rsidR="00EF1CAD" w:rsidTr="00EF1CAD">
        <w:trPr>
          <w:trHeight w:val="567"/>
        </w:trPr>
        <w:tc>
          <w:tcPr>
            <w:tcW w:w="9650" w:type="dxa"/>
            <w:gridSpan w:val="5"/>
            <w:tcBorders>
              <w:bottom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EF1CAD" w:rsidRDefault="00EF1CAD" w:rsidP="00EF1CAD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EF1CAD">
              <w:rPr>
                <w:b/>
                <w:sz w:val="24"/>
                <w:szCs w:val="24"/>
              </w:rPr>
              <w:t>Πίνακας 4: Ρυθμίσεις ληξιπρόθεσμων οφειλών σε ΟΑΕΕ</w:t>
            </w:r>
          </w:p>
          <w:p w:rsidR="00EF1CAD" w:rsidRDefault="00EF1CAD" w:rsidP="00EF1CAD">
            <w:pPr>
              <w:tabs>
                <w:tab w:val="left" w:pos="1185"/>
              </w:tabs>
              <w:jc w:val="center"/>
              <w:rPr>
                <w:sz w:val="26"/>
                <w:szCs w:val="26"/>
              </w:rPr>
            </w:pPr>
            <w:r w:rsidRPr="00EF1CA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έ</w:t>
            </w:r>
            <w:r w:rsidRPr="00EF1CAD">
              <w:rPr>
                <w:i/>
                <w:sz w:val="20"/>
                <w:szCs w:val="20"/>
              </w:rPr>
              <w:t>ως 13/11/2015)</w:t>
            </w:r>
          </w:p>
        </w:tc>
      </w:tr>
      <w:tr w:rsidR="00FD5E28" w:rsidTr="00EF1CAD">
        <w:trPr>
          <w:trHeight w:val="477"/>
        </w:trPr>
        <w:tc>
          <w:tcPr>
            <w:tcW w:w="3085" w:type="dxa"/>
            <w:vMerge w:val="restart"/>
            <w:tcBorders>
              <w:top w:val="threeDEngrave" w:sz="2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D5E28" w:rsidRDefault="00FD5E28" w:rsidP="00007412">
            <w:pPr>
              <w:tabs>
                <w:tab w:val="left" w:pos="1185"/>
              </w:tabs>
              <w:rPr>
                <w:sz w:val="26"/>
                <w:szCs w:val="26"/>
              </w:rPr>
            </w:pPr>
          </w:p>
        </w:tc>
        <w:tc>
          <w:tcPr>
            <w:tcW w:w="1662" w:type="dxa"/>
            <w:vMerge w:val="restart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FD5E28" w:rsidRDefault="00FD5E28" w:rsidP="00FD5E28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FD5E28">
              <w:rPr>
                <w:b/>
                <w:sz w:val="24"/>
                <w:szCs w:val="24"/>
              </w:rPr>
              <w:t>Ν. 4321/2015</w:t>
            </w:r>
          </w:p>
          <w:p w:rsidR="00FD5E28" w:rsidRPr="00FD5E28" w:rsidRDefault="00FD5E28" w:rsidP="00FD5E28">
            <w:pPr>
              <w:tabs>
                <w:tab w:val="left" w:pos="1185"/>
              </w:tabs>
              <w:jc w:val="center"/>
              <w:rPr>
                <w:i/>
                <w:sz w:val="20"/>
                <w:szCs w:val="20"/>
              </w:rPr>
            </w:pPr>
            <w:r w:rsidRPr="00FD5E28">
              <w:rPr>
                <w:i/>
                <w:sz w:val="20"/>
                <w:szCs w:val="20"/>
              </w:rPr>
              <w:t>(έως 100 δόσεις)</w:t>
            </w:r>
          </w:p>
        </w:tc>
        <w:tc>
          <w:tcPr>
            <w:tcW w:w="1662" w:type="dxa"/>
            <w:vMerge w:val="restart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FD5E28" w:rsidRDefault="00FD5E28" w:rsidP="00FD5E28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FD5E28">
              <w:rPr>
                <w:b/>
                <w:sz w:val="24"/>
                <w:szCs w:val="24"/>
              </w:rPr>
              <w:t>Ν. 43</w:t>
            </w:r>
            <w:r>
              <w:rPr>
                <w:b/>
                <w:sz w:val="24"/>
                <w:szCs w:val="24"/>
              </w:rPr>
              <w:t>05</w:t>
            </w:r>
            <w:r w:rsidRPr="00FD5E28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4</w:t>
            </w:r>
          </w:p>
          <w:p w:rsidR="00FD5E28" w:rsidRDefault="00FD5E28" w:rsidP="00FD5E28">
            <w:pPr>
              <w:tabs>
                <w:tab w:val="left" w:pos="1185"/>
              </w:tabs>
              <w:jc w:val="center"/>
              <w:rPr>
                <w:sz w:val="26"/>
                <w:szCs w:val="26"/>
              </w:rPr>
            </w:pPr>
            <w:r w:rsidRPr="00FD5E28">
              <w:rPr>
                <w:i/>
                <w:sz w:val="20"/>
                <w:szCs w:val="20"/>
              </w:rPr>
              <w:t>(έως 1</w:t>
            </w:r>
            <w:r>
              <w:rPr>
                <w:i/>
                <w:sz w:val="20"/>
                <w:szCs w:val="20"/>
              </w:rPr>
              <w:t>2</w:t>
            </w:r>
            <w:r w:rsidRPr="00FD5E28">
              <w:rPr>
                <w:i/>
                <w:sz w:val="20"/>
                <w:szCs w:val="20"/>
              </w:rPr>
              <w:t xml:space="preserve"> δόσεις)</w:t>
            </w:r>
          </w:p>
        </w:tc>
        <w:tc>
          <w:tcPr>
            <w:tcW w:w="3241" w:type="dxa"/>
            <w:gridSpan w:val="2"/>
            <w:tcBorders>
              <w:top w:val="threeDEngrave" w:sz="24" w:space="0" w:color="auto"/>
              <w:left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FD5E28" w:rsidRPr="00FD5E28" w:rsidRDefault="00FD5E28" w:rsidP="00FD5E28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FD5E28">
              <w:rPr>
                <w:b/>
                <w:sz w:val="24"/>
                <w:szCs w:val="24"/>
              </w:rPr>
              <w:t>Ν. 4</w:t>
            </w:r>
            <w:r>
              <w:rPr>
                <w:b/>
                <w:sz w:val="24"/>
                <w:szCs w:val="24"/>
              </w:rPr>
              <w:t>152</w:t>
            </w:r>
            <w:r w:rsidRPr="00FD5E28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FD5E28" w:rsidTr="00EF1CAD">
        <w:trPr>
          <w:trHeight w:val="425"/>
        </w:trPr>
        <w:tc>
          <w:tcPr>
            <w:tcW w:w="3085" w:type="dxa"/>
            <w:vMerge/>
            <w:tcBorders>
              <w:top w:val="sing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D5E28" w:rsidRDefault="00FD5E28" w:rsidP="00007412">
            <w:pPr>
              <w:tabs>
                <w:tab w:val="left" w:pos="1185"/>
              </w:tabs>
              <w:rPr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D5E28" w:rsidRPr="00FD5E28" w:rsidRDefault="00FD5E28" w:rsidP="00007412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FD5E28" w:rsidRDefault="00FD5E28" w:rsidP="00FD5E28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FD5E28" w:rsidRPr="00EF1CAD" w:rsidRDefault="00FD5E28" w:rsidP="00FD5E28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EF1CAD">
              <w:rPr>
                <w:b/>
                <w:sz w:val="24"/>
                <w:szCs w:val="24"/>
              </w:rPr>
              <w:t>Νέα Αρχή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B8CCE4" w:themeFill="accent1" w:themeFillTint="66"/>
            <w:vAlign w:val="center"/>
          </w:tcPr>
          <w:p w:rsidR="00FD5E28" w:rsidRPr="00EF1CAD" w:rsidRDefault="00FD5E28" w:rsidP="00FD5E28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</w:rPr>
            </w:pPr>
            <w:r w:rsidRPr="00EF1CAD">
              <w:rPr>
                <w:b/>
                <w:sz w:val="24"/>
                <w:szCs w:val="24"/>
              </w:rPr>
              <w:t>Πάγια Ρύθμιση</w:t>
            </w:r>
          </w:p>
        </w:tc>
      </w:tr>
      <w:tr w:rsidR="00FD5E28" w:rsidTr="00EF1CAD">
        <w:tc>
          <w:tcPr>
            <w:tcW w:w="3085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FD5E28" w:rsidRPr="00EF1CAD" w:rsidRDefault="00FD5E28" w:rsidP="00FD5E28">
            <w:pPr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Συνολική Κεφαλαιοποιημένη οφειλή</w:t>
            </w:r>
            <w:r w:rsidR="00EF1CAD"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(α)</w:t>
            </w:r>
          </w:p>
        </w:tc>
        <w:tc>
          <w:tcPr>
            <w:tcW w:w="1662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A01CDD" w:rsidP="00A01CDD">
            <w:pPr>
              <w:tabs>
                <w:tab w:val="left" w:pos="1185"/>
              </w:tabs>
              <w:jc w:val="center"/>
              <w:rPr>
                <w:b/>
              </w:rPr>
            </w:pPr>
            <w:r w:rsidRPr="00EF1CAD">
              <w:rPr>
                <w:b/>
              </w:rPr>
              <w:t xml:space="preserve">1,23 δις </w:t>
            </w:r>
            <w:r w:rsidRPr="00EF1CAD">
              <w:rPr>
                <w:rFonts w:cstheme="minorHAnsi"/>
                <w:b/>
              </w:rPr>
              <w:t>€</w:t>
            </w:r>
          </w:p>
        </w:tc>
        <w:tc>
          <w:tcPr>
            <w:tcW w:w="1662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A01CDD" w:rsidP="00A01CD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275,0 εκ. €</w:t>
            </w:r>
          </w:p>
        </w:tc>
        <w:tc>
          <w:tcPr>
            <w:tcW w:w="1603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EF1CAD" w:rsidP="00A01CDD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</w:rPr>
            </w:pPr>
            <w:r w:rsidRPr="00EF1CAD">
              <w:rPr>
                <w:rFonts w:ascii="Calibri" w:hAnsi="Calibri" w:cs="Calibri"/>
                <w:b/>
              </w:rPr>
              <w:t>323,7 εκ. €</w:t>
            </w:r>
          </w:p>
        </w:tc>
        <w:tc>
          <w:tcPr>
            <w:tcW w:w="1638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5E28" w:rsidRPr="00EF1CAD" w:rsidRDefault="00EF1CAD" w:rsidP="00EF1C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245,6 εκ. €</w:t>
            </w:r>
          </w:p>
        </w:tc>
      </w:tr>
      <w:tr w:rsidR="00FD5E28" w:rsidTr="00EF1CAD"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FD5E28" w:rsidP="00EF1CAD">
            <w:pPr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Ενεργή Κεφαλαιοποιημένη οφειλή</w:t>
            </w:r>
            <w:r w:rsidR="00EF1CAD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(</w:t>
            </w:r>
            <w:r w:rsidR="00EF1CAD">
              <w:rPr>
                <w:rFonts w:ascii="Calibri" w:hAnsi="Calibri" w:cs="Calibri"/>
                <w:b/>
                <w:color w:val="000000"/>
                <w:highlight w:val="yellow"/>
              </w:rPr>
              <w:t>β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)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A01CDD" w:rsidP="00A01CDD">
            <w:pPr>
              <w:tabs>
                <w:tab w:val="left" w:pos="1185"/>
              </w:tabs>
              <w:jc w:val="center"/>
              <w:rPr>
                <w:b/>
              </w:rPr>
            </w:pPr>
            <w:r w:rsidRPr="00EF1CAD">
              <w:rPr>
                <w:b/>
              </w:rPr>
              <w:t>0,84 δις €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A01CDD" w:rsidP="00A01CD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58,8 εκ. €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EF1CAD" w:rsidP="00A01CDD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</w:rPr>
            </w:pPr>
            <w:r w:rsidRPr="00EF1CAD">
              <w:rPr>
                <w:rFonts w:ascii="Calibri" w:hAnsi="Calibri" w:cs="Calibri"/>
                <w:b/>
              </w:rPr>
              <w:t>16,1 εκ. €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5E28" w:rsidRPr="00EF1CAD" w:rsidRDefault="00EF1CAD" w:rsidP="00EF1C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23,2 εκ. €</w:t>
            </w:r>
          </w:p>
        </w:tc>
      </w:tr>
      <w:tr w:rsidR="00EF1CAD" w:rsidTr="00EF1CAD">
        <w:trPr>
          <w:trHeight w:hRule="exact" w:val="454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AD" w:rsidRDefault="00EF1CAD" w:rsidP="00EF1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Πλήθος ρυθμίσεων </w:t>
            </w:r>
            <w:r w:rsidRPr="00EF1CAD">
              <w:rPr>
                <w:rFonts w:ascii="Calibri" w:hAnsi="Calibri" w:cs="Calibri"/>
                <w:b/>
                <w:color w:val="000000"/>
                <w:highlight w:val="yellow"/>
              </w:rPr>
              <w:t>(</w:t>
            </w:r>
            <w:r>
              <w:rPr>
                <w:rFonts w:ascii="Calibri" w:hAnsi="Calibri" w:cs="Calibri"/>
                <w:b/>
                <w:color w:val="000000"/>
                <w:highlight w:val="yellow"/>
              </w:rPr>
              <w:t>γ</w:t>
            </w:r>
            <w:r w:rsidRPr="00EF1CAD">
              <w:rPr>
                <w:rFonts w:ascii="Calibri" w:hAnsi="Calibri" w:cs="Calibri"/>
                <w:b/>
                <w:color w:val="000000"/>
                <w:highlight w:val="yellow"/>
              </w:rPr>
              <w:t>)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AD" w:rsidRPr="00A01CDD" w:rsidRDefault="00EF1CAD" w:rsidP="00A01CDD">
            <w:pPr>
              <w:jc w:val="center"/>
            </w:pPr>
            <w:r w:rsidRPr="00A01CDD">
              <w:t>106.694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AD" w:rsidRDefault="00EF1C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30.832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AD" w:rsidRDefault="00EF1C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40.291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F1CAD" w:rsidRDefault="00EF1C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51.954</w:t>
            </w:r>
          </w:p>
        </w:tc>
      </w:tr>
      <w:tr w:rsidR="00EF1CAD" w:rsidTr="00EF1CAD">
        <w:trPr>
          <w:trHeight w:hRule="exact" w:val="454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AD" w:rsidRDefault="00EF1CAD" w:rsidP="00EF1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Πλήθος Ενεργών ρυθμίσεων </w:t>
            </w:r>
            <w:r w:rsidRPr="00EF1CAD">
              <w:rPr>
                <w:rFonts w:ascii="Calibri" w:hAnsi="Calibri" w:cs="Calibri"/>
                <w:b/>
                <w:color w:val="000000"/>
                <w:highlight w:val="yellow"/>
              </w:rPr>
              <w:t>(</w:t>
            </w:r>
            <w:r>
              <w:rPr>
                <w:rFonts w:ascii="Calibri" w:hAnsi="Calibri" w:cs="Calibri"/>
                <w:b/>
                <w:color w:val="000000"/>
                <w:highlight w:val="yellow"/>
              </w:rPr>
              <w:t>δ</w:t>
            </w:r>
            <w:r w:rsidRPr="00EF1CAD">
              <w:rPr>
                <w:rFonts w:ascii="Calibri" w:hAnsi="Calibri" w:cs="Calibri"/>
                <w:b/>
                <w:color w:val="000000"/>
                <w:highlight w:val="yellow"/>
              </w:rPr>
              <w:t>)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AD" w:rsidRPr="00A01CDD" w:rsidRDefault="00EF1CAD" w:rsidP="00A01CDD">
            <w:pPr>
              <w:jc w:val="center"/>
            </w:pPr>
            <w:r w:rsidRPr="00A01CDD">
              <w:t>84.778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AD" w:rsidRDefault="00EF1C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13.576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AD" w:rsidRPr="00EF1CAD" w:rsidRDefault="00EF1CAD">
            <w:pPr>
              <w:jc w:val="center"/>
              <w:rPr>
                <w:rFonts w:ascii="Calibri" w:hAnsi="Calibri" w:cs="Calibri"/>
              </w:rPr>
            </w:pPr>
            <w:r w:rsidRPr="00EF1CAD">
              <w:rPr>
                <w:rFonts w:ascii="Calibri" w:hAnsi="Calibri" w:cs="Calibri"/>
              </w:rPr>
              <w:t>14.087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F1CAD" w:rsidRPr="00EF1CAD" w:rsidRDefault="00EF1CAD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CAD">
              <w:rPr>
                <w:rFonts w:ascii="Calibri" w:hAnsi="Calibri" w:cs="Calibri"/>
                <w:color w:val="000000"/>
              </w:rPr>
              <w:t xml:space="preserve">13.823  </w:t>
            </w:r>
          </w:p>
        </w:tc>
      </w:tr>
      <w:tr w:rsidR="00FD5E28" w:rsidTr="00EF1CAD">
        <w:trPr>
          <w:trHeight w:hRule="exact" w:val="454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Default="00FD5E28" w:rsidP="00EF1C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Εφάπαξ εξόφληση</w:t>
            </w:r>
            <w:r w:rsidR="00EF1CAD">
              <w:rPr>
                <w:rFonts w:ascii="Calibri" w:hAnsi="Calibri" w:cs="Calibri"/>
              </w:rPr>
              <w:t xml:space="preserve"> 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(</w:t>
            </w:r>
            <w:r w:rsidR="00EF1CAD">
              <w:rPr>
                <w:rFonts w:ascii="Calibri" w:hAnsi="Calibri" w:cs="Calibri"/>
                <w:b/>
                <w:color w:val="000000"/>
                <w:highlight w:val="yellow"/>
              </w:rPr>
              <w:t>ε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)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A01CDD" w:rsidRDefault="00A01CDD" w:rsidP="00A01CDD">
            <w:pPr>
              <w:tabs>
                <w:tab w:val="left" w:pos="1185"/>
              </w:tabs>
              <w:jc w:val="center"/>
            </w:pPr>
            <w:r w:rsidRPr="00A01CDD">
              <w:t>27,3 εκ. €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A01CDD" w:rsidRDefault="00A01CDD" w:rsidP="00A01CDD">
            <w:pPr>
              <w:jc w:val="center"/>
              <w:rPr>
                <w:rFonts w:ascii="Calibri" w:hAnsi="Calibri" w:cs="Calibri"/>
                <w:color w:val="000000"/>
              </w:rPr>
            </w:pPr>
            <w:r w:rsidRPr="00A01CDD">
              <w:rPr>
                <w:rFonts w:ascii="Calibri" w:hAnsi="Calibri" w:cs="Calibri"/>
                <w:color w:val="000000"/>
              </w:rPr>
              <w:t>15,1 εκ. €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EF1CAD" w:rsidP="00A01CDD">
            <w:pPr>
              <w:tabs>
                <w:tab w:val="left" w:pos="1185"/>
              </w:tabs>
              <w:jc w:val="center"/>
              <w:rPr>
                <w:rFonts w:ascii="Calibri" w:hAnsi="Calibri" w:cs="Calibri"/>
              </w:rPr>
            </w:pPr>
            <w:r w:rsidRPr="00EF1CAD">
              <w:rPr>
                <w:rFonts w:ascii="Calibri" w:hAnsi="Calibri" w:cs="Calibri"/>
              </w:rPr>
              <w:t>28,8 εκ. €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5E28" w:rsidRPr="00EF1CAD" w:rsidRDefault="00EF1CAD" w:rsidP="00EF1CAD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CAD">
              <w:rPr>
                <w:rFonts w:ascii="Calibri" w:hAnsi="Calibri" w:cs="Calibri"/>
                <w:color w:val="000000"/>
              </w:rPr>
              <w:t>20,0 εκ. €</w:t>
            </w:r>
          </w:p>
        </w:tc>
      </w:tr>
      <w:tr w:rsidR="00FD5E28" w:rsidTr="00EF1CAD">
        <w:trPr>
          <w:trHeight w:hRule="exact" w:val="454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Default="00FD5E28" w:rsidP="00EF1C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Εξόφληση μέσω δόσεων</w:t>
            </w:r>
            <w:r w:rsidR="00EF1CAD">
              <w:rPr>
                <w:rFonts w:ascii="Calibri" w:hAnsi="Calibri" w:cs="Calibri"/>
              </w:rPr>
              <w:t xml:space="preserve"> 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(</w:t>
            </w:r>
            <w:r w:rsidR="00EF1CAD">
              <w:rPr>
                <w:rFonts w:ascii="Calibri" w:hAnsi="Calibri" w:cs="Calibri"/>
                <w:b/>
                <w:color w:val="000000"/>
                <w:highlight w:val="yellow"/>
              </w:rPr>
              <w:t>ζ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)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A01CDD" w:rsidRDefault="00A01CDD" w:rsidP="00A01CDD">
            <w:pPr>
              <w:tabs>
                <w:tab w:val="left" w:pos="1185"/>
              </w:tabs>
              <w:jc w:val="center"/>
            </w:pPr>
            <w:r w:rsidRPr="00A01CDD">
              <w:t>68,0 εκ. €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A01CDD" w:rsidRDefault="00A01CDD" w:rsidP="00A01CDD">
            <w:pPr>
              <w:jc w:val="center"/>
              <w:rPr>
                <w:rFonts w:ascii="Calibri" w:hAnsi="Calibri" w:cs="Calibri"/>
                <w:color w:val="000000"/>
              </w:rPr>
            </w:pPr>
            <w:r w:rsidRPr="00A01CDD">
              <w:rPr>
                <w:rFonts w:ascii="Calibri" w:hAnsi="Calibri" w:cs="Calibri"/>
                <w:color w:val="000000"/>
              </w:rPr>
              <w:t>21,7 εκ. €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EF1CAD" w:rsidP="00A01CDD">
            <w:pPr>
              <w:tabs>
                <w:tab w:val="left" w:pos="1185"/>
              </w:tabs>
              <w:jc w:val="center"/>
              <w:rPr>
                <w:rFonts w:ascii="Calibri" w:hAnsi="Calibri" w:cs="Calibri"/>
              </w:rPr>
            </w:pPr>
            <w:r w:rsidRPr="00EF1CAD">
              <w:rPr>
                <w:rFonts w:ascii="Calibri" w:hAnsi="Calibri" w:cs="Calibri"/>
              </w:rPr>
              <w:t>59,8 εκ. €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5E28" w:rsidRPr="00EF1CAD" w:rsidRDefault="00EF1CAD" w:rsidP="00EF1CAD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CAD">
              <w:rPr>
                <w:rFonts w:ascii="Calibri" w:hAnsi="Calibri" w:cs="Calibri"/>
                <w:color w:val="000000"/>
              </w:rPr>
              <w:t>68,7 εκ. €</w:t>
            </w:r>
          </w:p>
        </w:tc>
      </w:tr>
      <w:tr w:rsidR="00FD5E28" w:rsidTr="00EF1CAD">
        <w:trPr>
          <w:trHeight w:hRule="exact" w:val="454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FD5E28" w:rsidP="00EF1CAD">
            <w:pPr>
              <w:rPr>
                <w:rFonts w:ascii="Calibri" w:hAnsi="Calibri" w:cs="Calibri"/>
                <w:b/>
              </w:rPr>
            </w:pPr>
            <w:r w:rsidRPr="00EF1CAD">
              <w:rPr>
                <w:rFonts w:ascii="Calibri" w:hAnsi="Calibri" w:cs="Calibri"/>
                <w:b/>
              </w:rPr>
              <w:t xml:space="preserve">Απώλειες </w:t>
            </w:r>
            <w:r w:rsidRPr="00EF1CAD">
              <w:rPr>
                <w:rFonts w:ascii="Calibri" w:hAnsi="Calibri" w:cs="Calibri"/>
                <w:i/>
                <w:sz w:val="20"/>
                <w:szCs w:val="20"/>
              </w:rPr>
              <w:t>(πλήθος)</w:t>
            </w:r>
            <w:r w:rsidR="00EF1CAD">
              <w:rPr>
                <w:rFonts w:ascii="Calibri" w:hAnsi="Calibri" w:cs="Calibri"/>
                <w:b/>
              </w:rPr>
              <w:t xml:space="preserve"> 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(</w:t>
            </w:r>
            <w:r w:rsidR="00EF1CAD">
              <w:rPr>
                <w:rFonts w:ascii="Calibri" w:hAnsi="Calibri" w:cs="Calibri"/>
                <w:b/>
                <w:color w:val="000000"/>
                <w:highlight w:val="yellow"/>
              </w:rPr>
              <w:t>η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)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A01CDD" w:rsidP="00A01CDD">
            <w:pPr>
              <w:tabs>
                <w:tab w:val="left" w:pos="1185"/>
              </w:tabs>
              <w:jc w:val="center"/>
              <w:rPr>
                <w:b/>
              </w:rPr>
            </w:pPr>
            <w:r w:rsidRPr="00EF1CAD">
              <w:rPr>
                <w:b/>
              </w:rPr>
              <w:t>21.916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A01CDD" w:rsidP="00A01CD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17.256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E28" w:rsidRPr="00EF1CAD" w:rsidRDefault="00EF1CAD" w:rsidP="00A01CDD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</w:rPr>
            </w:pPr>
            <w:r w:rsidRPr="00EF1CAD">
              <w:rPr>
                <w:rFonts w:ascii="Calibri" w:hAnsi="Calibri" w:cs="Calibri"/>
                <w:b/>
              </w:rPr>
              <w:t>26.204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5E28" w:rsidRPr="00EF1CAD" w:rsidRDefault="00EF1CAD" w:rsidP="00EF1C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38.131</w:t>
            </w:r>
          </w:p>
        </w:tc>
      </w:tr>
      <w:tr w:rsidR="00FD5E28" w:rsidTr="00EF1CAD">
        <w:trPr>
          <w:trHeight w:hRule="exact" w:val="454"/>
        </w:trPr>
        <w:tc>
          <w:tcPr>
            <w:tcW w:w="3085" w:type="dxa"/>
            <w:tcBorders>
              <w:top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FD5E28" w:rsidRPr="00EF1CAD" w:rsidRDefault="00FD5E28" w:rsidP="00EF1CAD">
            <w:pPr>
              <w:rPr>
                <w:rFonts w:ascii="Calibri" w:hAnsi="Calibri" w:cs="Calibri"/>
                <w:b/>
              </w:rPr>
            </w:pPr>
            <w:r w:rsidRPr="00EF1CAD">
              <w:rPr>
                <w:rFonts w:ascii="Calibri" w:hAnsi="Calibri" w:cs="Calibri"/>
                <w:b/>
              </w:rPr>
              <w:t xml:space="preserve">Απώλειες 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(</w:t>
            </w:r>
            <w:r w:rsidR="00EF1CAD">
              <w:rPr>
                <w:rFonts w:ascii="Calibri" w:hAnsi="Calibri" w:cs="Calibri"/>
                <w:b/>
                <w:color w:val="000000"/>
                <w:highlight w:val="yellow"/>
              </w:rPr>
              <w:t>θ</w:t>
            </w:r>
            <w:r w:rsidR="00EF1CAD" w:rsidRPr="00EF1CAD">
              <w:rPr>
                <w:rFonts w:ascii="Calibri" w:hAnsi="Calibri" w:cs="Calibri"/>
                <w:b/>
                <w:color w:val="000000"/>
                <w:highlight w:val="yellow"/>
              </w:rPr>
              <w:t>)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FD5E28" w:rsidRPr="00EF1CAD" w:rsidRDefault="00A01CDD" w:rsidP="00A01CDD">
            <w:pPr>
              <w:tabs>
                <w:tab w:val="left" w:pos="1185"/>
              </w:tabs>
              <w:jc w:val="center"/>
              <w:rPr>
                <w:b/>
              </w:rPr>
            </w:pPr>
            <w:r w:rsidRPr="00EF1CAD">
              <w:rPr>
                <w:b/>
              </w:rPr>
              <w:t>295,7 εκ. €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FD5E28" w:rsidRPr="00EF1CAD" w:rsidRDefault="00A01CDD" w:rsidP="00A01CD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179,4 εκ. €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FD5E28" w:rsidRPr="00EF1CAD" w:rsidRDefault="00EF1CAD" w:rsidP="00A01CDD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</w:rPr>
            </w:pPr>
            <w:r w:rsidRPr="00EF1CAD">
              <w:rPr>
                <w:rFonts w:ascii="Calibri" w:hAnsi="Calibri" w:cs="Calibri"/>
                <w:b/>
              </w:rPr>
              <w:t>219,0 εκ. €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</w:tcBorders>
            <w:vAlign w:val="center"/>
          </w:tcPr>
          <w:p w:rsidR="00FD5E28" w:rsidRPr="00EF1CAD" w:rsidRDefault="00EF1CAD" w:rsidP="00EF1C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1CAD">
              <w:rPr>
                <w:rFonts w:ascii="Calibri" w:hAnsi="Calibri" w:cs="Calibri"/>
                <w:b/>
                <w:color w:val="000000"/>
              </w:rPr>
              <w:t>133,6 εκ. €</w:t>
            </w:r>
          </w:p>
        </w:tc>
      </w:tr>
    </w:tbl>
    <w:p w:rsidR="00FD5E28" w:rsidRDefault="00FD5E28" w:rsidP="00007412">
      <w:pPr>
        <w:tabs>
          <w:tab w:val="left" w:pos="1185"/>
        </w:tabs>
        <w:rPr>
          <w:sz w:val="26"/>
          <w:szCs w:val="26"/>
        </w:rPr>
      </w:pPr>
    </w:p>
    <w:p w:rsidR="002346D8" w:rsidRPr="00EF1CAD" w:rsidRDefault="00EF1CAD" w:rsidP="0097092C">
      <w:pPr>
        <w:tabs>
          <w:tab w:val="left" w:pos="1185"/>
        </w:tabs>
        <w:ind w:left="-426"/>
        <w:rPr>
          <w:b/>
          <w:i/>
          <w:sz w:val="26"/>
          <w:szCs w:val="26"/>
          <w:u w:val="single"/>
        </w:rPr>
      </w:pPr>
      <w:r w:rsidRPr="00EF1CAD">
        <w:rPr>
          <w:b/>
          <w:i/>
          <w:sz w:val="26"/>
          <w:szCs w:val="26"/>
          <w:u w:val="single"/>
        </w:rPr>
        <w:t xml:space="preserve">Επεξηγήσεις: </w:t>
      </w:r>
    </w:p>
    <w:p w:rsidR="00EF1CAD" w:rsidRDefault="00EF1CAD" w:rsidP="0097092C">
      <w:pPr>
        <w:tabs>
          <w:tab w:val="left" w:pos="1185"/>
        </w:tabs>
        <w:ind w:left="-426"/>
        <w:rPr>
          <w:rFonts w:ascii="Calibri" w:hAnsi="Calibri" w:cs="Calibri"/>
          <w:color w:val="000000"/>
        </w:rPr>
      </w:pPr>
      <w:r w:rsidRPr="00EF1CAD">
        <w:rPr>
          <w:rFonts w:ascii="Calibri" w:hAnsi="Calibri" w:cs="Calibri"/>
          <w:b/>
          <w:color w:val="000000"/>
        </w:rPr>
        <w:t>(α)</w:t>
      </w:r>
      <w:r>
        <w:rPr>
          <w:rFonts w:ascii="Calibri" w:hAnsi="Calibri" w:cs="Calibri"/>
          <w:b/>
          <w:color w:val="000000"/>
        </w:rPr>
        <w:t xml:space="preserve"> = </w:t>
      </w:r>
      <w:r w:rsidRPr="00EF1CAD">
        <w:rPr>
          <w:rFonts w:ascii="Calibri" w:hAnsi="Calibri" w:cs="Calibri"/>
          <w:color w:val="000000"/>
        </w:rPr>
        <w:t>(β) + (ε) + (ζ) + (θ)</w:t>
      </w:r>
    </w:p>
    <w:p w:rsidR="00EF1CAD" w:rsidRPr="00007412" w:rsidRDefault="00EF1CAD" w:rsidP="0097092C">
      <w:pPr>
        <w:tabs>
          <w:tab w:val="left" w:pos="1185"/>
        </w:tabs>
        <w:ind w:left="-426"/>
        <w:rPr>
          <w:sz w:val="26"/>
          <w:szCs w:val="26"/>
        </w:rPr>
      </w:pPr>
      <w:r w:rsidRPr="00EF1CAD">
        <w:rPr>
          <w:rFonts w:ascii="Calibri" w:hAnsi="Calibri" w:cs="Calibri"/>
          <w:b/>
          <w:color w:val="000000"/>
        </w:rPr>
        <w:t>(γ)</w:t>
      </w:r>
      <w:r>
        <w:rPr>
          <w:rFonts w:ascii="Calibri" w:hAnsi="Calibri" w:cs="Calibri"/>
          <w:color w:val="000000"/>
        </w:rPr>
        <w:t xml:space="preserve">  = </w:t>
      </w:r>
      <w:r w:rsidRPr="00EF1CAD">
        <w:rPr>
          <w:rFonts w:ascii="Calibri" w:hAnsi="Calibri" w:cs="Calibri"/>
          <w:color w:val="000000"/>
        </w:rPr>
        <w:t>(δ) + (η)</w:t>
      </w:r>
    </w:p>
    <w:sectPr w:rsidR="00EF1CAD" w:rsidRPr="00007412" w:rsidSect="00786093">
      <w:footerReference w:type="default" r:id="rId8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8B" w:rsidRDefault="0024328B" w:rsidP="00562079">
      <w:pPr>
        <w:spacing w:after="0" w:line="240" w:lineRule="auto"/>
      </w:pPr>
      <w:r>
        <w:separator/>
      </w:r>
    </w:p>
  </w:endnote>
  <w:endnote w:type="continuationSeparator" w:id="0">
    <w:p w:rsidR="0024328B" w:rsidRDefault="0024328B" w:rsidP="0056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415"/>
      <w:docPartObj>
        <w:docPartGallery w:val="Page Numbers (Bottom of Page)"/>
        <w:docPartUnique/>
      </w:docPartObj>
    </w:sdtPr>
    <w:sdtContent>
      <w:p w:rsidR="00786093" w:rsidRDefault="00CB3D2E">
        <w:pPr>
          <w:pStyle w:val="a6"/>
          <w:jc w:val="right"/>
        </w:pPr>
        <w:fldSimple w:instr=" PAGE   \* MERGEFORMAT ">
          <w:r w:rsidR="00FF0AEC">
            <w:rPr>
              <w:noProof/>
            </w:rPr>
            <w:t>3</w:t>
          </w:r>
        </w:fldSimple>
      </w:p>
    </w:sdtContent>
  </w:sdt>
  <w:p w:rsidR="00786093" w:rsidRDefault="007860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8B" w:rsidRDefault="0024328B" w:rsidP="00562079">
      <w:pPr>
        <w:spacing w:after="0" w:line="240" w:lineRule="auto"/>
      </w:pPr>
      <w:r>
        <w:separator/>
      </w:r>
    </w:p>
  </w:footnote>
  <w:footnote w:type="continuationSeparator" w:id="0">
    <w:p w:rsidR="0024328B" w:rsidRDefault="0024328B" w:rsidP="00562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582"/>
    <w:multiLevelType w:val="hybridMultilevel"/>
    <w:tmpl w:val="E1668856"/>
    <w:lvl w:ilvl="0" w:tplc="AEE647F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12EF"/>
    <w:multiLevelType w:val="hybridMultilevel"/>
    <w:tmpl w:val="433A878C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76B4B2A"/>
    <w:multiLevelType w:val="hybridMultilevel"/>
    <w:tmpl w:val="82C891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16208"/>
    <w:multiLevelType w:val="hybridMultilevel"/>
    <w:tmpl w:val="4EFA3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115CF"/>
    <w:multiLevelType w:val="hybridMultilevel"/>
    <w:tmpl w:val="CDDE4BF6"/>
    <w:lvl w:ilvl="0" w:tplc="D3F6FA4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CDD1437"/>
    <w:multiLevelType w:val="hybridMultilevel"/>
    <w:tmpl w:val="C014377E"/>
    <w:lvl w:ilvl="0" w:tplc="71D20686">
      <w:start w:val="35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i/>
        <w:sz w:val="20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3E8A7655"/>
    <w:multiLevelType w:val="hybridMultilevel"/>
    <w:tmpl w:val="C58618D4"/>
    <w:lvl w:ilvl="0" w:tplc="71D20686">
      <w:start w:val="35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i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22710"/>
    <w:multiLevelType w:val="hybridMultilevel"/>
    <w:tmpl w:val="B5841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4E3"/>
    <w:rsid w:val="00007412"/>
    <w:rsid w:val="00015129"/>
    <w:rsid w:val="00026694"/>
    <w:rsid w:val="000564EB"/>
    <w:rsid w:val="00071D79"/>
    <w:rsid w:val="00086D61"/>
    <w:rsid w:val="00091ED6"/>
    <w:rsid w:val="000E5390"/>
    <w:rsid w:val="000F2824"/>
    <w:rsid w:val="00121715"/>
    <w:rsid w:val="001255D7"/>
    <w:rsid w:val="00125AC0"/>
    <w:rsid w:val="00125B45"/>
    <w:rsid w:val="00141785"/>
    <w:rsid w:val="00185F80"/>
    <w:rsid w:val="001F1A4A"/>
    <w:rsid w:val="00202F45"/>
    <w:rsid w:val="00204C71"/>
    <w:rsid w:val="00217D84"/>
    <w:rsid w:val="00226DDA"/>
    <w:rsid w:val="00232CB0"/>
    <w:rsid w:val="002346D8"/>
    <w:rsid w:val="0024328B"/>
    <w:rsid w:val="002E2E48"/>
    <w:rsid w:val="0031132B"/>
    <w:rsid w:val="00317311"/>
    <w:rsid w:val="003253DC"/>
    <w:rsid w:val="0035503B"/>
    <w:rsid w:val="0035788A"/>
    <w:rsid w:val="003721EA"/>
    <w:rsid w:val="0039176B"/>
    <w:rsid w:val="003D2807"/>
    <w:rsid w:val="003D4B31"/>
    <w:rsid w:val="00414E6B"/>
    <w:rsid w:val="00465BC8"/>
    <w:rsid w:val="004669EE"/>
    <w:rsid w:val="0049484C"/>
    <w:rsid w:val="004C2DAE"/>
    <w:rsid w:val="004F14E0"/>
    <w:rsid w:val="00562079"/>
    <w:rsid w:val="00570672"/>
    <w:rsid w:val="005D34E3"/>
    <w:rsid w:val="00611529"/>
    <w:rsid w:val="00616E59"/>
    <w:rsid w:val="00655B93"/>
    <w:rsid w:val="006606B0"/>
    <w:rsid w:val="0067669F"/>
    <w:rsid w:val="00686A2B"/>
    <w:rsid w:val="006A0BAC"/>
    <w:rsid w:val="006D0F0E"/>
    <w:rsid w:val="007020FC"/>
    <w:rsid w:val="00716EEB"/>
    <w:rsid w:val="007613D7"/>
    <w:rsid w:val="00763593"/>
    <w:rsid w:val="00765602"/>
    <w:rsid w:val="00786093"/>
    <w:rsid w:val="00786103"/>
    <w:rsid w:val="007A622E"/>
    <w:rsid w:val="00802BAF"/>
    <w:rsid w:val="00816684"/>
    <w:rsid w:val="00825E17"/>
    <w:rsid w:val="00847497"/>
    <w:rsid w:val="008644ED"/>
    <w:rsid w:val="00886A2C"/>
    <w:rsid w:val="0090049A"/>
    <w:rsid w:val="00911E5C"/>
    <w:rsid w:val="0097092C"/>
    <w:rsid w:val="009A56F0"/>
    <w:rsid w:val="009F283A"/>
    <w:rsid w:val="00A01CDD"/>
    <w:rsid w:val="00A30F9C"/>
    <w:rsid w:val="00A37C63"/>
    <w:rsid w:val="00A40B96"/>
    <w:rsid w:val="00A479E4"/>
    <w:rsid w:val="00AD0BE8"/>
    <w:rsid w:val="00B51BDE"/>
    <w:rsid w:val="00B750AC"/>
    <w:rsid w:val="00B84272"/>
    <w:rsid w:val="00B85111"/>
    <w:rsid w:val="00BA309D"/>
    <w:rsid w:val="00BD7D5B"/>
    <w:rsid w:val="00C56DF7"/>
    <w:rsid w:val="00C70828"/>
    <w:rsid w:val="00C874C0"/>
    <w:rsid w:val="00CB3D2E"/>
    <w:rsid w:val="00CB4CE1"/>
    <w:rsid w:val="00CE1721"/>
    <w:rsid w:val="00CF478D"/>
    <w:rsid w:val="00D01E4B"/>
    <w:rsid w:val="00DD37EA"/>
    <w:rsid w:val="00DD6B27"/>
    <w:rsid w:val="00DE2E55"/>
    <w:rsid w:val="00DF2259"/>
    <w:rsid w:val="00E57D9E"/>
    <w:rsid w:val="00E70B6B"/>
    <w:rsid w:val="00E969CA"/>
    <w:rsid w:val="00EA0863"/>
    <w:rsid w:val="00EA7A56"/>
    <w:rsid w:val="00EB25AC"/>
    <w:rsid w:val="00EF1CAD"/>
    <w:rsid w:val="00F0184B"/>
    <w:rsid w:val="00F31CB3"/>
    <w:rsid w:val="00F416F9"/>
    <w:rsid w:val="00F66181"/>
    <w:rsid w:val="00F846D3"/>
    <w:rsid w:val="00FD5E28"/>
    <w:rsid w:val="00FF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BA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62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562079"/>
  </w:style>
  <w:style w:type="paragraph" w:styleId="a6">
    <w:name w:val="footer"/>
    <w:basedOn w:val="a"/>
    <w:link w:val="Char0"/>
    <w:uiPriority w:val="99"/>
    <w:unhideWhenUsed/>
    <w:rsid w:val="00562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62079"/>
  </w:style>
  <w:style w:type="paragraph" w:styleId="a7">
    <w:name w:val="Balloon Text"/>
    <w:basedOn w:val="a"/>
    <w:link w:val="Char1"/>
    <w:uiPriority w:val="99"/>
    <w:semiHidden/>
    <w:unhideWhenUsed/>
    <w:rsid w:val="00FF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F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nikgeo</dc:creator>
  <cp:lastModifiedBy>mfondrie</cp:lastModifiedBy>
  <cp:revision>2</cp:revision>
  <dcterms:created xsi:type="dcterms:W3CDTF">2016-02-09T06:50:00Z</dcterms:created>
  <dcterms:modified xsi:type="dcterms:W3CDTF">2016-02-09T06:50:00Z</dcterms:modified>
</cp:coreProperties>
</file>