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FF" w:rsidRDefault="00B041FF" w:rsidP="00131398">
      <w:pPr>
        <w:jc w:val="center"/>
        <w:rPr>
          <w:b/>
          <w:sz w:val="28"/>
          <w:szCs w:val="28"/>
        </w:rPr>
      </w:pPr>
      <w:r w:rsidRPr="00B041FF">
        <w:rPr>
          <w:b/>
          <w:noProof/>
          <w:sz w:val="28"/>
          <w:szCs w:val="28"/>
          <w:lang w:eastAsia="el-GR"/>
        </w:rPr>
        <w:drawing>
          <wp:inline distT="0" distB="0" distL="0" distR="0">
            <wp:extent cx="5272154" cy="606056"/>
            <wp:effectExtent l="19050" t="0" r="4696" b="0"/>
            <wp:docPr id="1" name="Εικόνα 1" descr="INEMY_logo_TELIKO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EMY_logo_TELIKO-0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06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1FF" w:rsidRDefault="00B041FF" w:rsidP="00B041FF">
      <w:pPr>
        <w:ind w:right="-766"/>
      </w:pPr>
      <w:r w:rsidRPr="006B0100">
        <w:rPr>
          <w:rFonts w:ascii="Cambria" w:hAnsi="Cambria" w:cs="Arial"/>
          <w:sz w:val="26"/>
          <w:szCs w:val="26"/>
        </w:rPr>
        <w:t>ΠΕΤ</w:t>
      </w:r>
      <w:r>
        <w:rPr>
          <w:rFonts w:ascii="Cambria" w:hAnsi="Cambria" w:cs="Arial"/>
          <w:sz w:val="26"/>
          <w:szCs w:val="26"/>
        </w:rPr>
        <w:t xml:space="preserve">ΡΑΚΗ </w:t>
      </w:r>
      <w:r w:rsidRPr="00BE54CB">
        <w:rPr>
          <w:rFonts w:ascii="Cambria" w:hAnsi="Cambria" w:cs="Arial"/>
          <w:sz w:val="26"/>
          <w:szCs w:val="26"/>
        </w:rPr>
        <w:t>8</w:t>
      </w:r>
      <w:r>
        <w:rPr>
          <w:rFonts w:ascii="Cambria" w:hAnsi="Cambria" w:cs="Arial"/>
          <w:sz w:val="26"/>
          <w:szCs w:val="26"/>
        </w:rPr>
        <w:t xml:space="preserve">  Τ.Κ. 105 63 - ΑΘΗΝΑ  </w:t>
      </w:r>
      <w:r w:rsidRPr="006B0100">
        <w:rPr>
          <w:rFonts w:ascii="Cambria" w:hAnsi="Cambria" w:cs="Arial"/>
          <w:sz w:val="26"/>
          <w:szCs w:val="26"/>
        </w:rPr>
        <w:t>ΤΗΛ</w:t>
      </w:r>
      <w:r>
        <w:rPr>
          <w:rFonts w:ascii="Cambria" w:hAnsi="Cambria" w:cs="Arial"/>
          <w:sz w:val="26"/>
          <w:szCs w:val="26"/>
        </w:rPr>
        <w:t>:</w:t>
      </w:r>
      <w:r w:rsidRPr="006B0100">
        <w:rPr>
          <w:rFonts w:ascii="Cambria" w:hAnsi="Cambria" w:cs="Arial"/>
          <w:sz w:val="26"/>
          <w:szCs w:val="26"/>
        </w:rPr>
        <w:t xml:space="preserve"> </w:t>
      </w:r>
      <w:r>
        <w:rPr>
          <w:rFonts w:ascii="Cambria" w:hAnsi="Cambria" w:cs="Arial"/>
          <w:sz w:val="26"/>
          <w:szCs w:val="26"/>
        </w:rPr>
        <w:t>210.</w:t>
      </w:r>
      <w:r w:rsidRPr="006B0100">
        <w:rPr>
          <w:rFonts w:ascii="Cambria" w:hAnsi="Cambria" w:cs="Arial"/>
          <w:sz w:val="26"/>
          <w:szCs w:val="26"/>
        </w:rPr>
        <w:t>3</w:t>
      </w:r>
      <w:r>
        <w:rPr>
          <w:rFonts w:ascii="Cambria" w:hAnsi="Cambria" w:cs="Arial"/>
          <w:sz w:val="26"/>
          <w:szCs w:val="26"/>
        </w:rPr>
        <w:t>2.59.1</w:t>
      </w:r>
      <w:r w:rsidRPr="00BE54CB">
        <w:rPr>
          <w:rFonts w:ascii="Cambria" w:hAnsi="Cambria" w:cs="Arial"/>
          <w:sz w:val="26"/>
          <w:szCs w:val="26"/>
        </w:rPr>
        <w:t>70</w:t>
      </w:r>
      <w:r w:rsidRPr="003F402E">
        <w:rPr>
          <w:rFonts w:ascii="Cambria" w:hAnsi="Cambria" w:cs="Arial"/>
          <w:sz w:val="26"/>
          <w:szCs w:val="26"/>
        </w:rPr>
        <w:t xml:space="preserve"> </w:t>
      </w:r>
      <w:r w:rsidRPr="006B0100">
        <w:rPr>
          <w:rFonts w:ascii="Cambria" w:hAnsi="Cambria" w:cs="Arial"/>
          <w:sz w:val="26"/>
          <w:szCs w:val="26"/>
        </w:rPr>
        <w:t>-</w:t>
      </w:r>
      <w:r>
        <w:rPr>
          <w:rFonts w:ascii="Cambria" w:hAnsi="Cambria" w:cs="Arial"/>
          <w:sz w:val="26"/>
          <w:szCs w:val="26"/>
        </w:rPr>
        <w:t xml:space="preserve"> </w:t>
      </w:r>
      <w:r w:rsidRPr="005F3D0C">
        <w:rPr>
          <w:rFonts w:ascii="Cambria" w:hAnsi="Cambria" w:cs="Arial"/>
          <w:sz w:val="26"/>
          <w:szCs w:val="26"/>
        </w:rPr>
        <w:t>FAX</w:t>
      </w:r>
      <w:r>
        <w:rPr>
          <w:rFonts w:ascii="Cambria" w:hAnsi="Cambria" w:cs="Arial"/>
          <w:sz w:val="26"/>
          <w:szCs w:val="26"/>
        </w:rPr>
        <w:t>:</w:t>
      </w:r>
      <w:r w:rsidRPr="006B0100">
        <w:rPr>
          <w:rFonts w:ascii="Cambria" w:hAnsi="Cambria" w:cs="Arial"/>
          <w:sz w:val="26"/>
          <w:szCs w:val="26"/>
        </w:rPr>
        <w:t xml:space="preserve"> </w:t>
      </w:r>
      <w:r>
        <w:rPr>
          <w:rFonts w:ascii="Cambria" w:hAnsi="Cambria" w:cs="Arial"/>
          <w:sz w:val="26"/>
          <w:szCs w:val="26"/>
        </w:rPr>
        <w:t>210.32</w:t>
      </w:r>
      <w:r w:rsidRPr="006B0100">
        <w:rPr>
          <w:rFonts w:ascii="Cambria" w:hAnsi="Cambria" w:cs="Arial"/>
          <w:sz w:val="26"/>
          <w:szCs w:val="26"/>
        </w:rPr>
        <w:t>.</w:t>
      </w:r>
      <w:r>
        <w:rPr>
          <w:rFonts w:ascii="Cambria" w:hAnsi="Cambria" w:cs="Arial"/>
          <w:sz w:val="26"/>
          <w:szCs w:val="26"/>
        </w:rPr>
        <w:t>59</w:t>
      </w:r>
      <w:r w:rsidRPr="006B0100">
        <w:rPr>
          <w:rFonts w:ascii="Cambria" w:hAnsi="Cambria" w:cs="Arial"/>
          <w:sz w:val="26"/>
          <w:szCs w:val="26"/>
        </w:rPr>
        <w:t>.</w:t>
      </w:r>
      <w:r w:rsidRPr="00BE54CB">
        <w:rPr>
          <w:rFonts w:ascii="Cambria" w:hAnsi="Cambria" w:cs="Arial"/>
          <w:sz w:val="26"/>
          <w:szCs w:val="26"/>
        </w:rPr>
        <w:t>169</w:t>
      </w:r>
    </w:p>
    <w:p w:rsidR="001958B5" w:rsidRPr="00AE3094" w:rsidRDefault="001958B5" w:rsidP="00E84373">
      <w:pPr>
        <w:spacing w:after="120"/>
        <w:jc w:val="both"/>
        <w:rPr>
          <w:rFonts w:cstheme="minorHAnsi"/>
          <w:sz w:val="24"/>
          <w:szCs w:val="24"/>
        </w:rPr>
      </w:pPr>
    </w:p>
    <w:p w:rsidR="00353B4E" w:rsidRPr="00353B4E" w:rsidRDefault="00A43F6C" w:rsidP="001958B5">
      <w:pPr>
        <w:shd w:val="clear" w:color="auto" w:fill="BFBFBF" w:themeFill="background1" w:themeFillShade="BF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- </w:t>
      </w:r>
      <w:r w:rsidR="00B15856">
        <w:rPr>
          <w:b/>
          <w:sz w:val="34"/>
          <w:szCs w:val="34"/>
        </w:rPr>
        <w:t xml:space="preserve">Έρευνα για το </w:t>
      </w:r>
      <w:r w:rsidR="00353B4E" w:rsidRPr="00353B4E">
        <w:rPr>
          <w:b/>
          <w:sz w:val="34"/>
          <w:szCs w:val="34"/>
        </w:rPr>
        <w:t xml:space="preserve">Ασφαλιστικό </w:t>
      </w:r>
      <w:r>
        <w:rPr>
          <w:b/>
          <w:sz w:val="34"/>
          <w:szCs w:val="34"/>
        </w:rPr>
        <w:t>-</w:t>
      </w:r>
    </w:p>
    <w:p w:rsidR="001958B5" w:rsidRDefault="001958B5" w:rsidP="001958B5">
      <w:pPr>
        <w:shd w:val="clear" w:color="auto" w:fill="BFBFBF" w:themeFill="background1" w:themeFillShade="BF"/>
        <w:jc w:val="center"/>
        <w:rPr>
          <w:b/>
          <w:sz w:val="30"/>
          <w:szCs w:val="30"/>
        </w:rPr>
      </w:pPr>
      <w:r w:rsidRPr="001958B5">
        <w:rPr>
          <w:b/>
          <w:sz w:val="30"/>
          <w:szCs w:val="30"/>
        </w:rPr>
        <w:t>Αποτελέσματα της εξαμηνιαίας έρευνας</w:t>
      </w:r>
      <w:r>
        <w:rPr>
          <w:b/>
          <w:sz w:val="30"/>
          <w:szCs w:val="30"/>
        </w:rPr>
        <w:t xml:space="preserve"> του ΙΝΕΜΥ της ΕΣΕΕ</w:t>
      </w:r>
      <w:r w:rsidRPr="001958B5">
        <w:rPr>
          <w:b/>
          <w:sz w:val="30"/>
          <w:szCs w:val="30"/>
        </w:rPr>
        <w:t xml:space="preserve"> για τις μικρομεσαίες </w:t>
      </w:r>
      <w:r w:rsidR="005054D6">
        <w:rPr>
          <w:b/>
          <w:sz w:val="30"/>
          <w:szCs w:val="30"/>
        </w:rPr>
        <w:t xml:space="preserve">εμπορικές </w:t>
      </w:r>
      <w:r w:rsidRPr="001958B5">
        <w:rPr>
          <w:b/>
          <w:sz w:val="30"/>
          <w:szCs w:val="30"/>
        </w:rPr>
        <w:t>επιχειρήσεις</w:t>
      </w:r>
    </w:p>
    <w:p w:rsidR="00017A13" w:rsidRDefault="00017A13" w:rsidP="00C95928">
      <w:pPr>
        <w:jc w:val="both"/>
        <w:rPr>
          <w:rFonts w:cstheme="minorHAnsi"/>
          <w:sz w:val="24"/>
          <w:szCs w:val="24"/>
        </w:rPr>
      </w:pPr>
    </w:p>
    <w:p w:rsidR="001958B5" w:rsidRDefault="00636ED4" w:rsidP="00C95928">
      <w:pPr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  <w:lang w:val="en-US"/>
        </w:rPr>
        <w:t>To</w:t>
      </w:r>
      <w:r>
        <w:rPr>
          <w:rFonts w:cstheme="minorHAnsi"/>
          <w:sz w:val="24"/>
          <w:szCs w:val="24"/>
        </w:rPr>
        <w:t xml:space="preserve"> ΙΝ.ΕΜ.Υ.</w:t>
      </w:r>
      <w:proofErr w:type="gramEnd"/>
      <w:r>
        <w:rPr>
          <w:rFonts w:cstheme="minorHAnsi"/>
          <w:sz w:val="24"/>
          <w:szCs w:val="24"/>
        </w:rPr>
        <w:t xml:space="preserve"> της ΕΣΕΕ πραγματοποίησε</w:t>
      </w:r>
      <w:r w:rsidR="001958B5">
        <w:rPr>
          <w:rFonts w:cstheme="minorHAnsi"/>
          <w:sz w:val="24"/>
          <w:szCs w:val="24"/>
        </w:rPr>
        <w:t xml:space="preserve"> εξαμηνιαία </w:t>
      </w:r>
      <w:r w:rsidR="00C95928">
        <w:rPr>
          <w:rFonts w:cstheme="minorHAnsi"/>
          <w:sz w:val="24"/>
          <w:szCs w:val="24"/>
        </w:rPr>
        <w:t>τηλεφωνική</w:t>
      </w:r>
      <w:r w:rsidR="00D44C0C">
        <w:rPr>
          <w:rFonts w:cstheme="minorHAnsi"/>
          <w:sz w:val="24"/>
          <w:szCs w:val="24"/>
        </w:rPr>
        <w:t xml:space="preserve"> </w:t>
      </w:r>
      <w:r w:rsidR="00C95928">
        <w:rPr>
          <w:rFonts w:cstheme="minorHAnsi"/>
          <w:sz w:val="24"/>
          <w:szCs w:val="24"/>
        </w:rPr>
        <w:t xml:space="preserve">έρευνα εντοπισμού και καταγραφής των βασικότερων προβλημάτων </w:t>
      </w:r>
      <w:r>
        <w:rPr>
          <w:rFonts w:cstheme="minorHAnsi"/>
          <w:sz w:val="24"/>
          <w:szCs w:val="24"/>
        </w:rPr>
        <w:t xml:space="preserve">για </w:t>
      </w:r>
      <w:r w:rsidR="00C95928">
        <w:rPr>
          <w:rFonts w:cstheme="minorHAnsi"/>
          <w:sz w:val="24"/>
          <w:szCs w:val="24"/>
        </w:rPr>
        <w:t>τη μικρομεσαία εμπορική επιχειρηματικότητα</w:t>
      </w:r>
      <w:r>
        <w:rPr>
          <w:rFonts w:cstheme="minorHAnsi"/>
          <w:sz w:val="24"/>
          <w:szCs w:val="24"/>
        </w:rPr>
        <w:t xml:space="preserve"> σε δείγμα 700 επιχειρηματιών</w:t>
      </w:r>
      <w:r w:rsidRPr="00636ED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ανά την Επικράτεια που ασκούν εμπορική δραστηριότητα</w:t>
      </w:r>
      <w:r w:rsidR="00C95928">
        <w:rPr>
          <w:rFonts w:cstheme="minorHAnsi"/>
          <w:sz w:val="24"/>
          <w:szCs w:val="24"/>
        </w:rPr>
        <w:t xml:space="preserve">. </w:t>
      </w:r>
      <w:r w:rsidRPr="00017A13">
        <w:rPr>
          <w:rFonts w:cstheme="minorHAnsi"/>
          <w:sz w:val="24"/>
          <w:szCs w:val="24"/>
          <w:u w:val="single"/>
        </w:rPr>
        <w:t>Εκτός των άλλων στο πλαίσιο της έρευνα πραγματοποιήθηκαν ερωτήσεις που αφορούν στην</w:t>
      </w:r>
      <w:r w:rsidR="00C95928" w:rsidRPr="00017A13">
        <w:rPr>
          <w:rFonts w:cstheme="minorHAnsi"/>
          <w:sz w:val="24"/>
          <w:szCs w:val="24"/>
          <w:u w:val="single"/>
        </w:rPr>
        <w:t xml:space="preserve"> αναμόρφωση του </w:t>
      </w:r>
      <w:r w:rsidRPr="00017A13">
        <w:rPr>
          <w:rFonts w:cstheme="minorHAnsi"/>
          <w:sz w:val="24"/>
          <w:szCs w:val="24"/>
          <w:u w:val="single"/>
        </w:rPr>
        <w:t>εθνικού ασφαλιστικού συστήματος</w:t>
      </w:r>
      <w:r w:rsidR="00017A13">
        <w:rPr>
          <w:rFonts w:cstheme="minorHAnsi"/>
          <w:sz w:val="24"/>
          <w:szCs w:val="24"/>
        </w:rPr>
        <w:t>, κ</w:t>
      </w:r>
      <w:r>
        <w:rPr>
          <w:rFonts w:cstheme="minorHAnsi"/>
          <w:sz w:val="24"/>
          <w:szCs w:val="24"/>
        </w:rPr>
        <w:t xml:space="preserve">αι τους ζητήθηκε </w:t>
      </w:r>
      <w:r w:rsidR="00C95928">
        <w:rPr>
          <w:rFonts w:cstheme="minorHAnsi"/>
          <w:sz w:val="24"/>
          <w:szCs w:val="24"/>
        </w:rPr>
        <w:t xml:space="preserve">να καταθέσουν τις απόψεις </w:t>
      </w:r>
      <w:r w:rsidR="00D46223">
        <w:rPr>
          <w:rFonts w:cstheme="minorHAnsi"/>
          <w:sz w:val="24"/>
          <w:szCs w:val="24"/>
        </w:rPr>
        <w:t xml:space="preserve">σε ζητήματα που αφορούν: </w:t>
      </w:r>
      <w:r w:rsidR="00C95928">
        <w:rPr>
          <w:rFonts w:cstheme="minorHAnsi"/>
          <w:sz w:val="24"/>
          <w:szCs w:val="24"/>
        </w:rPr>
        <w:t xml:space="preserve"> </w:t>
      </w:r>
      <w:r w:rsidR="00D46223">
        <w:rPr>
          <w:rFonts w:cstheme="minorHAnsi"/>
          <w:sz w:val="24"/>
          <w:szCs w:val="24"/>
        </w:rPr>
        <w:t>τις προοπτικές αλλά και τα σημαντικά προβλήματα που αντιμετωπίζει ο κύριος φορέας ασφάλισης των εμπόρων, ο ΟΑΕΕ.</w:t>
      </w:r>
    </w:p>
    <w:p w:rsidR="00D44686" w:rsidRDefault="00636ED4" w:rsidP="00D44686">
      <w:pPr>
        <w:jc w:val="center"/>
        <w:rPr>
          <w:rFonts w:cstheme="minorHAnsi"/>
          <w:b/>
          <w:i/>
          <w:sz w:val="30"/>
          <w:szCs w:val="30"/>
          <w:u w:val="single"/>
        </w:rPr>
      </w:pPr>
      <w:r>
        <w:rPr>
          <w:rFonts w:cstheme="minorHAnsi"/>
          <w:b/>
          <w:i/>
          <w:sz w:val="30"/>
          <w:szCs w:val="30"/>
          <w:u w:val="single"/>
        </w:rPr>
        <w:t>Τα βασικότερα προβλήματα</w:t>
      </w:r>
    </w:p>
    <w:p w:rsidR="00AE3094" w:rsidRDefault="00AE3094" w:rsidP="00E9795C">
      <w:pPr>
        <w:jc w:val="both"/>
        <w:rPr>
          <w:rFonts w:cstheme="minorHAnsi"/>
          <w:b/>
          <w:i/>
          <w:sz w:val="24"/>
          <w:szCs w:val="24"/>
        </w:rPr>
      </w:pPr>
    </w:p>
    <w:p w:rsidR="00636ED4" w:rsidRDefault="00E9795C" w:rsidP="00117704">
      <w:pPr>
        <w:pStyle w:val="a3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117704">
        <w:rPr>
          <w:rFonts w:cstheme="minorHAnsi"/>
          <w:b/>
          <w:sz w:val="24"/>
          <w:szCs w:val="24"/>
          <w:u w:val="single"/>
        </w:rPr>
        <w:t>Ο βαθμός ανταποδοτικότητας εισφορών – παροχών καθώς και το ύψος των ασφαλιστικών εισφορών αποτελούν τα σημαντικότερα προβλήματα που αντιμετωπίζουν σήμερα οι ασφαλισμένοι στον ΟΑΕΕ</w:t>
      </w:r>
      <w:r w:rsidRPr="00117704">
        <w:rPr>
          <w:rFonts w:cstheme="minorHAnsi"/>
          <w:sz w:val="24"/>
          <w:szCs w:val="24"/>
        </w:rPr>
        <w:t xml:space="preserve">. </w:t>
      </w:r>
    </w:p>
    <w:p w:rsidR="00636ED4" w:rsidRDefault="00636ED4" w:rsidP="00117704">
      <w:pPr>
        <w:pStyle w:val="a3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 xml:space="preserve">Ως τρίτο σημαντικότερο πρόβλημα </w:t>
      </w:r>
      <w:r w:rsidRPr="00636ED4">
        <w:rPr>
          <w:rFonts w:cstheme="minorHAnsi"/>
          <w:b/>
          <w:sz w:val="24"/>
          <w:szCs w:val="24"/>
          <w:u w:val="single"/>
        </w:rPr>
        <w:t xml:space="preserve">κρίνεται </w:t>
      </w:r>
      <w:r w:rsidR="00E9795C" w:rsidRPr="00636ED4">
        <w:rPr>
          <w:rFonts w:cstheme="minorHAnsi"/>
          <w:b/>
          <w:sz w:val="24"/>
          <w:szCs w:val="24"/>
          <w:u w:val="single"/>
        </w:rPr>
        <w:t>η μη διασύνδεση των καταβληθέντων εισφορών με τα δηλωθέντα εισοδήματα</w:t>
      </w:r>
      <w:r w:rsidRPr="00636ED4">
        <w:rPr>
          <w:rFonts w:cstheme="minorHAnsi"/>
          <w:b/>
          <w:sz w:val="24"/>
          <w:szCs w:val="24"/>
          <w:u w:val="single"/>
        </w:rPr>
        <w:t xml:space="preserve"> (προτείνεται από τους εμπόρους η σύνδεση των </w:t>
      </w:r>
      <w:proofErr w:type="spellStart"/>
      <w:r w:rsidRPr="00636ED4">
        <w:rPr>
          <w:rFonts w:cstheme="minorHAnsi"/>
          <w:b/>
          <w:sz w:val="24"/>
          <w:szCs w:val="24"/>
          <w:u w:val="single"/>
        </w:rPr>
        <w:t>των</w:t>
      </w:r>
      <w:proofErr w:type="spellEnd"/>
      <w:r w:rsidRPr="00636ED4">
        <w:rPr>
          <w:rFonts w:cstheme="minorHAnsi"/>
          <w:b/>
          <w:sz w:val="24"/>
          <w:szCs w:val="24"/>
          <w:u w:val="single"/>
        </w:rPr>
        <w:t xml:space="preserve"> καταβληθέντων εισφορών με τα δηλωθέντα εισοδήματα)</w:t>
      </w:r>
      <w:r w:rsidR="00E9795C" w:rsidRPr="00636ED4">
        <w:rPr>
          <w:rFonts w:cstheme="minorHAnsi"/>
          <w:b/>
          <w:sz w:val="24"/>
          <w:szCs w:val="24"/>
          <w:u w:val="single"/>
        </w:rPr>
        <w:t xml:space="preserve"> και </w:t>
      </w:r>
      <w:r w:rsidRPr="00636ED4">
        <w:rPr>
          <w:rFonts w:cstheme="minorHAnsi"/>
          <w:b/>
          <w:sz w:val="24"/>
          <w:szCs w:val="24"/>
          <w:u w:val="single"/>
        </w:rPr>
        <w:t xml:space="preserve">ακολουθεί </w:t>
      </w:r>
      <w:r w:rsidR="00E9795C" w:rsidRPr="00636ED4">
        <w:rPr>
          <w:rFonts w:cstheme="minorHAnsi"/>
          <w:b/>
          <w:sz w:val="24"/>
          <w:szCs w:val="24"/>
          <w:u w:val="single"/>
        </w:rPr>
        <w:t>το υφιστάμενο πλαίσιο ρύθμισης ληξιπρόθεσμων οφειλών.</w:t>
      </w:r>
      <w:r w:rsidR="00E9795C" w:rsidRPr="00117704">
        <w:rPr>
          <w:rFonts w:cstheme="minorHAnsi"/>
          <w:sz w:val="24"/>
          <w:szCs w:val="24"/>
        </w:rPr>
        <w:t xml:space="preserve"> </w:t>
      </w:r>
    </w:p>
    <w:p w:rsidR="00E9795C" w:rsidRPr="00117704" w:rsidRDefault="00E9795C" w:rsidP="00117704">
      <w:pPr>
        <w:pStyle w:val="a3"/>
        <w:numPr>
          <w:ilvl w:val="0"/>
          <w:numId w:val="16"/>
        </w:numPr>
        <w:jc w:val="both"/>
        <w:rPr>
          <w:rFonts w:cstheme="minorHAnsi"/>
          <w:sz w:val="24"/>
          <w:szCs w:val="24"/>
        </w:rPr>
      </w:pPr>
      <w:r w:rsidRPr="00117704">
        <w:rPr>
          <w:rFonts w:cstheme="minorHAnsi"/>
          <w:sz w:val="24"/>
          <w:szCs w:val="24"/>
        </w:rPr>
        <w:t xml:space="preserve">Η διαπίστωση αυτή ισχύει ανεξαρτήτως του κλάδου δραστηριοποίησης των επιχειρήσεων (εμπόριο μηχανοκίνητων, χονδρικό εμπόριο, λιανικό εμπόριο). </w:t>
      </w:r>
    </w:p>
    <w:p w:rsidR="00F03DD4" w:rsidRDefault="00E9795C" w:rsidP="00684562">
      <w:pPr>
        <w:tabs>
          <w:tab w:val="left" w:pos="1273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ab/>
      </w:r>
      <w:r w:rsidR="00F03DD4" w:rsidRPr="00F03DD4">
        <w:rPr>
          <w:rFonts w:cstheme="minorHAnsi"/>
          <w:noProof/>
          <w:sz w:val="24"/>
          <w:szCs w:val="24"/>
          <w:lang w:eastAsia="el-GR"/>
        </w:rPr>
        <w:drawing>
          <wp:inline distT="0" distB="0" distL="0" distR="0">
            <wp:extent cx="5492573" cy="2955852"/>
            <wp:effectExtent l="19050" t="0" r="12877" b="0"/>
            <wp:docPr id="3" name="Γράφημα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03DD4" w:rsidRPr="00571FFE" w:rsidRDefault="00571FFE" w:rsidP="00571FFE">
      <w:pPr>
        <w:ind w:right="43"/>
        <w:jc w:val="center"/>
        <w:rPr>
          <w:b/>
          <w:bCs/>
          <w:color w:val="4F81BD" w:themeColor="accent1"/>
          <w:sz w:val="18"/>
          <w:szCs w:val="18"/>
        </w:rPr>
      </w:pPr>
      <w:r>
        <w:rPr>
          <w:b/>
          <w:bCs/>
          <w:color w:val="4F81BD" w:themeColor="accent1"/>
          <w:sz w:val="18"/>
          <w:szCs w:val="18"/>
        </w:rPr>
        <w:t xml:space="preserve">                                                                                         </w:t>
      </w:r>
      <w:r w:rsidRPr="00571FFE">
        <w:rPr>
          <w:b/>
          <w:bCs/>
          <w:color w:val="4F81BD" w:themeColor="accent1"/>
          <w:sz w:val="18"/>
          <w:szCs w:val="18"/>
        </w:rPr>
        <w:t>Πηγή: Εξαμηνιαία έρευνα ΙΝΕΜΥ/ΕΣΕΕ για ΜμΕ</w:t>
      </w:r>
    </w:p>
    <w:p w:rsidR="00684562" w:rsidRDefault="00684562" w:rsidP="00F03DD4">
      <w:pPr>
        <w:rPr>
          <w:rFonts w:cstheme="minorHAnsi"/>
          <w:sz w:val="24"/>
          <w:szCs w:val="24"/>
        </w:rPr>
      </w:pPr>
    </w:p>
    <w:p w:rsidR="00684562" w:rsidRDefault="00684562" w:rsidP="00571FFE">
      <w:pPr>
        <w:pStyle w:val="a8"/>
        <w:ind w:left="-709" w:right="-524"/>
        <w:jc w:val="center"/>
      </w:pPr>
      <w:r w:rsidRPr="00684562">
        <w:rPr>
          <w:sz w:val="20"/>
          <w:szCs w:val="20"/>
        </w:rPr>
        <w:t xml:space="preserve">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684562">
        <w:rPr>
          <w:sz w:val="20"/>
          <w:szCs w:val="20"/>
        </w:rPr>
        <w:t xml:space="preserve"> </w:t>
      </w:r>
      <w:r w:rsidRPr="00F03DD4">
        <w:rPr>
          <w:rFonts w:cstheme="minorHAnsi"/>
          <w:noProof/>
          <w:sz w:val="24"/>
          <w:szCs w:val="24"/>
          <w:lang w:eastAsia="el-GR"/>
        </w:rPr>
        <w:drawing>
          <wp:inline distT="0" distB="0" distL="0" distR="0">
            <wp:extent cx="6646604" cy="2806995"/>
            <wp:effectExtent l="19050" t="0" r="20896" b="0"/>
            <wp:docPr id="11" name="Γράφημα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84562" w:rsidRDefault="00684562" w:rsidP="00684562">
      <w:pPr>
        <w:pStyle w:val="a8"/>
        <w:spacing w:after="0"/>
        <w:ind w:right="-241"/>
        <w:jc w:val="center"/>
      </w:pPr>
      <w:r w:rsidRPr="00684562">
        <w:rPr>
          <w:sz w:val="20"/>
          <w:szCs w:val="20"/>
        </w:rPr>
        <w:t xml:space="preserve">                                                                                            </w:t>
      </w:r>
      <w:r w:rsidR="00C85F89">
        <w:rPr>
          <w:sz w:val="20"/>
          <w:szCs w:val="20"/>
        </w:rPr>
        <w:t xml:space="preserve">         </w:t>
      </w:r>
      <w:r w:rsidRPr="00684562">
        <w:rPr>
          <w:sz w:val="20"/>
          <w:szCs w:val="20"/>
        </w:rPr>
        <w:t xml:space="preserve"> Πηγή:</w:t>
      </w:r>
      <w:r>
        <w:t xml:space="preserve"> Εξαμηνιαία έρευνα ΙΝΕΜΥ/ΕΣΕΕ για ΜμΕ</w:t>
      </w:r>
    </w:p>
    <w:p w:rsidR="00AE3094" w:rsidRDefault="00AE3094" w:rsidP="00D44C0C">
      <w:pPr>
        <w:jc w:val="both"/>
        <w:rPr>
          <w:rFonts w:cstheme="minorHAnsi"/>
          <w:b/>
          <w:i/>
          <w:sz w:val="24"/>
          <w:szCs w:val="24"/>
        </w:rPr>
      </w:pPr>
    </w:p>
    <w:p w:rsidR="00636ED4" w:rsidRDefault="00D44C0C" w:rsidP="00117704">
      <w:pPr>
        <w:pStyle w:val="a3"/>
        <w:numPr>
          <w:ilvl w:val="0"/>
          <w:numId w:val="16"/>
        </w:numPr>
        <w:jc w:val="both"/>
      </w:pPr>
      <w:r w:rsidRPr="00532CC8">
        <w:t>Οι ατομικ</w:t>
      </w:r>
      <w:r>
        <w:t xml:space="preserve">ές και προσωπικές επιχειρήσεις </w:t>
      </w:r>
      <w:r w:rsidR="00636ED4">
        <w:t>(</w:t>
      </w:r>
      <w:r w:rsidR="00636ED4" w:rsidRPr="00532CC8">
        <w:t>ΟΕ και ΕΕ</w:t>
      </w:r>
      <w:r w:rsidR="00636ED4">
        <w:t>)</w:t>
      </w:r>
      <w:r w:rsidR="00636ED4" w:rsidRPr="00532CC8">
        <w:t xml:space="preserve"> </w:t>
      </w:r>
      <w:r w:rsidR="00636ED4">
        <w:t xml:space="preserve"> αξιολογούν το ύψος των ασφαλιστικών εισφορών ως πολύ σημαντικότερο πρόβλημα σε σύγκριση </w:t>
      </w:r>
      <w:r w:rsidR="00636ED4" w:rsidRPr="00532CC8">
        <w:t xml:space="preserve">με τις </w:t>
      </w:r>
      <w:r w:rsidR="00636ED4">
        <w:t xml:space="preserve">κεφαλαιουχικές </w:t>
      </w:r>
      <w:r w:rsidR="00636ED4" w:rsidRPr="00532CC8">
        <w:t xml:space="preserve">επιχειρήσεις </w:t>
      </w:r>
      <w:r w:rsidR="00636ED4">
        <w:t xml:space="preserve">(ΑΕ, </w:t>
      </w:r>
      <w:r w:rsidR="00636ED4" w:rsidRPr="00532CC8">
        <w:t>ΕΠΕ</w:t>
      </w:r>
      <w:r w:rsidR="00636ED4">
        <w:t xml:space="preserve"> &amp; ΙΚΕ).</w:t>
      </w:r>
    </w:p>
    <w:p w:rsidR="00571FFE" w:rsidRDefault="00636ED4" w:rsidP="00D44C0C">
      <w:pPr>
        <w:pStyle w:val="a3"/>
        <w:numPr>
          <w:ilvl w:val="0"/>
          <w:numId w:val="16"/>
        </w:numPr>
        <w:jc w:val="both"/>
      </w:pPr>
      <w:r>
        <w:t>Ενώ τ</w:t>
      </w:r>
      <w:r w:rsidR="00D44C0C" w:rsidRPr="00532CC8">
        <w:t>ο υφιστάμενο πλαίσιο ρύθμισης ληξιπροθέσμων οφειλών</w:t>
      </w:r>
      <w:r w:rsidR="00D44C0C">
        <w:t xml:space="preserve"> </w:t>
      </w:r>
      <w:r>
        <w:t>αποτελεί ζήτημα ίδιας</w:t>
      </w:r>
      <w:r w:rsidR="00017A13">
        <w:t xml:space="preserve"> σπουδαιότητα</w:t>
      </w:r>
      <w:r>
        <w:t xml:space="preserve">ς για το σύνολο του επιχειρηματικού κόσμου ανεξαρτήτων νομικής μορφής. </w:t>
      </w:r>
    </w:p>
    <w:p w:rsidR="00D44C0C" w:rsidRDefault="00D44C0C" w:rsidP="00D44C0C">
      <w:pPr>
        <w:rPr>
          <w:rFonts w:cstheme="minorHAnsi"/>
          <w:sz w:val="24"/>
          <w:szCs w:val="24"/>
        </w:rPr>
      </w:pPr>
      <w:r w:rsidRPr="00D44C0C">
        <w:rPr>
          <w:rFonts w:cstheme="minorHAnsi"/>
          <w:noProof/>
          <w:sz w:val="24"/>
          <w:szCs w:val="24"/>
          <w:lang w:eastAsia="el-GR"/>
        </w:rPr>
        <w:lastRenderedPageBreak/>
        <w:drawing>
          <wp:inline distT="0" distB="0" distL="0" distR="0">
            <wp:extent cx="5490831" cy="2966484"/>
            <wp:effectExtent l="19050" t="0" r="14619" b="5316"/>
            <wp:docPr id="5" name="Γράφημα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84562" w:rsidRDefault="00684562" w:rsidP="00684562">
      <w:pPr>
        <w:pStyle w:val="a8"/>
        <w:jc w:val="center"/>
      </w:pPr>
      <w:r w:rsidRPr="00684562">
        <w:rPr>
          <w:sz w:val="20"/>
          <w:szCs w:val="20"/>
        </w:rPr>
        <w:t xml:space="preserve">                                                              </w:t>
      </w:r>
      <w:r w:rsidR="00C85F89">
        <w:rPr>
          <w:sz w:val="20"/>
          <w:szCs w:val="20"/>
        </w:rPr>
        <w:t xml:space="preserve">                        </w:t>
      </w:r>
      <w:r w:rsidRPr="00684562">
        <w:rPr>
          <w:sz w:val="20"/>
          <w:szCs w:val="20"/>
        </w:rPr>
        <w:t>Πηγή:</w:t>
      </w:r>
      <w:r>
        <w:t xml:space="preserve"> Εξαμηνιαία έρευνα ΙΝΕΜΥ/ΕΣΕΕ για ΜμΕ</w:t>
      </w:r>
    </w:p>
    <w:p w:rsidR="00636ED4" w:rsidRDefault="00636ED4" w:rsidP="00117704">
      <w:pPr>
        <w:pStyle w:val="a3"/>
        <w:numPr>
          <w:ilvl w:val="0"/>
          <w:numId w:val="16"/>
        </w:numPr>
        <w:jc w:val="both"/>
      </w:pPr>
      <w:r>
        <w:t>Από τα αποτελέσματα της έρευνας διαπιστώνεται ότι οι μικρές επιχειρήσεις κρίνουν τα τέσσερα προαναφερθέντα προβλήμ</w:t>
      </w:r>
      <w:r w:rsidR="00AC118C">
        <w:t xml:space="preserve">ατα περισσότερα σημαντικά. </w:t>
      </w:r>
    </w:p>
    <w:p w:rsidR="00E9795C" w:rsidRDefault="00D44C0C" w:rsidP="00D44C0C">
      <w:pPr>
        <w:pStyle w:val="a3"/>
        <w:numPr>
          <w:ilvl w:val="0"/>
          <w:numId w:val="16"/>
        </w:numPr>
        <w:jc w:val="both"/>
      </w:pPr>
      <w:r>
        <w:t xml:space="preserve">Οι επιχειρήσεις με περισσότερους από 9 </w:t>
      </w:r>
      <w:r w:rsidR="00571FFE">
        <w:t>απασχολουμένους</w:t>
      </w:r>
      <w:r>
        <w:t xml:space="preserve"> αξιολογούν τ</w:t>
      </w:r>
      <w:r w:rsidR="00AC118C">
        <w:t>α προβλήματα με μικρότερο βαθμό.</w:t>
      </w:r>
    </w:p>
    <w:p w:rsidR="0064165A" w:rsidRDefault="00D44C0C" w:rsidP="0064165A">
      <w:pPr>
        <w:ind w:left="-567" w:right="-524"/>
        <w:rPr>
          <w:rFonts w:cstheme="minorHAnsi"/>
          <w:sz w:val="24"/>
          <w:szCs w:val="24"/>
        </w:rPr>
      </w:pPr>
      <w:r w:rsidRPr="00D44C0C">
        <w:rPr>
          <w:rFonts w:cstheme="minorHAnsi"/>
          <w:noProof/>
          <w:sz w:val="24"/>
          <w:szCs w:val="24"/>
          <w:lang w:eastAsia="el-GR"/>
        </w:rPr>
        <w:drawing>
          <wp:inline distT="0" distB="0" distL="0" distR="0">
            <wp:extent cx="6241710" cy="2916000"/>
            <wp:effectExtent l="19050" t="0" r="25740" b="0"/>
            <wp:docPr id="6" name="Γράφημα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84562" w:rsidRDefault="00684562" w:rsidP="00684562">
      <w:pPr>
        <w:pStyle w:val="a8"/>
        <w:jc w:val="center"/>
      </w:pPr>
      <w:r w:rsidRPr="00684562">
        <w:rPr>
          <w:sz w:val="20"/>
          <w:szCs w:val="20"/>
        </w:rPr>
        <w:t xml:space="preserve">                                                                                            </w:t>
      </w:r>
      <w:r w:rsidR="00C85F89">
        <w:rPr>
          <w:sz w:val="20"/>
          <w:szCs w:val="20"/>
        </w:rPr>
        <w:t xml:space="preserve">                </w:t>
      </w:r>
      <w:r w:rsidRPr="00684562">
        <w:rPr>
          <w:sz w:val="20"/>
          <w:szCs w:val="20"/>
        </w:rPr>
        <w:t xml:space="preserve">  Πηγή:</w:t>
      </w:r>
      <w:r>
        <w:t xml:space="preserve"> Εξαμηνιαία έρευνα ΙΝΕΜΥ/ΕΣΕΕ για ΜμΕ</w:t>
      </w:r>
    </w:p>
    <w:p w:rsidR="00AC118C" w:rsidRDefault="00AC118C" w:rsidP="00117704">
      <w:pPr>
        <w:pStyle w:val="a3"/>
        <w:numPr>
          <w:ilvl w:val="0"/>
          <w:numId w:val="16"/>
        </w:numPr>
        <w:jc w:val="both"/>
      </w:pPr>
      <w:r>
        <w:t xml:space="preserve">Οι αυτοαπασχολούμενοι επίσης αξιολογούν έστω και οριακά περισσότερα σημαντικά τα </w:t>
      </w:r>
      <w:r w:rsidR="00017A13">
        <w:t xml:space="preserve">προαναφερθέντα </w:t>
      </w:r>
      <w:r>
        <w:t>προβλήματα του ασφαλιστικού.</w:t>
      </w:r>
    </w:p>
    <w:p w:rsidR="00AC118C" w:rsidRDefault="00AC118C" w:rsidP="00017A13">
      <w:pPr>
        <w:pStyle w:val="a3"/>
        <w:keepNext/>
        <w:numPr>
          <w:ilvl w:val="0"/>
          <w:numId w:val="16"/>
        </w:numPr>
        <w:jc w:val="both"/>
      </w:pPr>
      <w:r>
        <w:lastRenderedPageBreak/>
        <w:t xml:space="preserve">Παρ όλα αυτά, η ανταποδοτικότητα εισφορών – παροχών για το σύνολο των επιχειρήσεων κρίνεται το ίδιο σημαντικό ζήτημα. </w:t>
      </w:r>
    </w:p>
    <w:p w:rsidR="001F1289" w:rsidRDefault="0064165A" w:rsidP="00AC118C">
      <w:pPr>
        <w:keepNext/>
        <w:jc w:val="both"/>
      </w:pPr>
      <w:r w:rsidRPr="0064165A">
        <w:rPr>
          <w:noProof/>
          <w:lang w:eastAsia="el-GR"/>
        </w:rPr>
        <w:drawing>
          <wp:inline distT="0" distB="0" distL="0" distR="0">
            <wp:extent cx="5499721" cy="2838893"/>
            <wp:effectExtent l="19050" t="0" r="24779" b="0"/>
            <wp:docPr id="7" name="Γράφημα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F1289" w:rsidRDefault="001F1289" w:rsidP="001F1289">
      <w:pPr>
        <w:pStyle w:val="a8"/>
        <w:jc w:val="center"/>
      </w:pPr>
      <w:r w:rsidRPr="00684562">
        <w:rPr>
          <w:sz w:val="20"/>
          <w:szCs w:val="20"/>
        </w:rPr>
        <w:t xml:space="preserve">                                                           </w:t>
      </w:r>
      <w:r w:rsidR="00C85F89">
        <w:rPr>
          <w:sz w:val="20"/>
          <w:szCs w:val="20"/>
        </w:rPr>
        <w:t xml:space="preserve">              </w:t>
      </w:r>
      <w:r w:rsidR="00571FFE">
        <w:rPr>
          <w:sz w:val="20"/>
          <w:szCs w:val="20"/>
        </w:rPr>
        <w:t xml:space="preserve">             </w:t>
      </w:r>
      <w:r w:rsidRPr="00684562">
        <w:rPr>
          <w:sz w:val="20"/>
          <w:szCs w:val="20"/>
        </w:rPr>
        <w:t>Πηγή:</w:t>
      </w:r>
      <w:r>
        <w:t xml:space="preserve"> Εξαμηνιαία έρευνα ΙΝΕΜΥ/ΕΣΕΕ για ΜμΕ</w:t>
      </w:r>
    </w:p>
    <w:p w:rsidR="00AC118C" w:rsidRDefault="0064165A" w:rsidP="00117704">
      <w:pPr>
        <w:pStyle w:val="a3"/>
        <w:numPr>
          <w:ilvl w:val="0"/>
          <w:numId w:val="16"/>
        </w:numPr>
        <w:tabs>
          <w:tab w:val="left" w:pos="2478"/>
        </w:tabs>
      </w:pPr>
      <w:r>
        <w:t xml:space="preserve">Οι νέοι επιχειρηματίες με έως και 5 έτη λειτουργίας της επιχείρησης αξιολογούν ότι ο βαθμός ανταποδοτικότητας εισφορών  - παροχών, το ύψος των ασφαλιστικών εισφορών και η μη διασύνδεση των καταβληθέντων εισφορών με τα δηλωμένα εισοδήματα είναι προβλήματα λιγότερο σημαντικά σε σύγκριση με τους υπόλοιπους επιχειρηματίες. </w:t>
      </w:r>
    </w:p>
    <w:p w:rsidR="00117704" w:rsidRDefault="0064165A" w:rsidP="00117704">
      <w:pPr>
        <w:pStyle w:val="a3"/>
        <w:numPr>
          <w:ilvl w:val="0"/>
          <w:numId w:val="16"/>
        </w:numPr>
        <w:tabs>
          <w:tab w:val="left" w:pos="2478"/>
        </w:tabs>
      </w:pPr>
      <w:r>
        <w:t>Η σπουδαιότητα του υφιστάμενου πλαισίου ρύθμισης ληξιπρόθεσμων οφειλών ως πρόβλημα δεν διαφοροποιείται μεταξύ των κατηγοριών των επιχειρήσεων ανάλογα με τα έτη λειτουργίας τους.</w:t>
      </w:r>
      <w:r w:rsidR="00117704">
        <w:t xml:space="preserve"> </w:t>
      </w:r>
    </w:p>
    <w:p w:rsidR="00017A13" w:rsidRDefault="00017A13" w:rsidP="00C85F89">
      <w:pPr>
        <w:tabs>
          <w:tab w:val="left" w:pos="3801"/>
        </w:tabs>
        <w:rPr>
          <w:rFonts w:cstheme="minorHAnsi"/>
          <w:sz w:val="24"/>
          <w:szCs w:val="24"/>
        </w:rPr>
      </w:pPr>
      <w:r w:rsidRPr="00017A13">
        <w:rPr>
          <w:rFonts w:cstheme="minorHAnsi"/>
          <w:noProof/>
          <w:sz w:val="24"/>
          <w:szCs w:val="24"/>
          <w:lang w:eastAsia="el-GR"/>
        </w:rPr>
        <w:drawing>
          <wp:inline distT="0" distB="0" distL="0" distR="0">
            <wp:extent cx="5788025" cy="2917372"/>
            <wp:effectExtent l="19050" t="0" r="22225" b="0"/>
            <wp:docPr id="9" name="Γράφημα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85F89" w:rsidRDefault="00017A13" w:rsidP="00017A13">
      <w:pPr>
        <w:tabs>
          <w:tab w:val="left" w:pos="213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br/>
      </w:r>
    </w:p>
    <w:p w:rsidR="00017A13" w:rsidRDefault="00017A13" w:rsidP="00017A13">
      <w:pPr>
        <w:tabs>
          <w:tab w:val="left" w:pos="2130"/>
        </w:tabs>
        <w:rPr>
          <w:rFonts w:cstheme="minorHAnsi"/>
          <w:sz w:val="24"/>
          <w:szCs w:val="24"/>
        </w:rPr>
      </w:pPr>
    </w:p>
    <w:p w:rsidR="00017A13" w:rsidRPr="00017A13" w:rsidRDefault="00017A13" w:rsidP="00017A13">
      <w:pPr>
        <w:pStyle w:val="a3"/>
        <w:numPr>
          <w:ilvl w:val="0"/>
          <w:numId w:val="17"/>
        </w:numPr>
        <w:jc w:val="both"/>
        <w:rPr>
          <w:b/>
        </w:rPr>
      </w:pPr>
      <w:r>
        <w:lastRenderedPageBreak/>
        <w:t>7</w:t>
      </w:r>
      <w:r w:rsidRPr="00532CC8">
        <w:t xml:space="preserve"> στους </w:t>
      </w:r>
      <w:r>
        <w:t>10</w:t>
      </w:r>
      <w:r w:rsidRPr="00532CC8">
        <w:t xml:space="preserve"> επιχειρηματίες προτρέπουν την ΕΣΕΕ να δώσει προτεραιότητα στο θέμα της </w:t>
      </w:r>
      <w:r w:rsidRPr="00017A13">
        <w:rPr>
          <w:b/>
        </w:rPr>
        <w:t>ανταποδοτικότητας των εισφορών – παροχών</w:t>
      </w:r>
      <w:r w:rsidRPr="00532CC8">
        <w:t xml:space="preserve"> και </w:t>
      </w:r>
      <w:r>
        <w:t>1</w:t>
      </w:r>
      <w:r w:rsidRPr="00532CC8">
        <w:t xml:space="preserve"> στους </w:t>
      </w:r>
      <w:r>
        <w:t>2</w:t>
      </w:r>
      <w:r w:rsidRPr="00532CC8">
        <w:t xml:space="preserve"> </w:t>
      </w:r>
      <w:r w:rsidRPr="00017A13">
        <w:rPr>
          <w:b/>
        </w:rPr>
        <w:t xml:space="preserve">στη διασύνδεση των καταβληθέντων εισφορών με τα δηλωθέντα εισοδήματα. </w:t>
      </w:r>
    </w:p>
    <w:p w:rsidR="00017A13" w:rsidRDefault="00017A13" w:rsidP="00017A13">
      <w:pPr>
        <w:pStyle w:val="a3"/>
        <w:numPr>
          <w:ilvl w:val="0"/>
          <w:numId w:val="17"/>
        </w:numPr>
        <w:jc w:val="both"/>
      </w:pPr>
      <w:r w:rsidRPr="00532CC8">
        <w:t xml:space="preserve">Η προστασία </w:t>
      </w:r>
      <w:r>
        <w:t xml:space="preserve">της </w:t>
      </w:r>
      <w:r w:rsidRPr="00532CC8">
        <w:t xml:space="preserve">εντός </w:t>
      </w:r>
      <w:r>
        <w:t xml:space="preserve">της </w:t>
      </w:r>
      <w:r w:rsidRPr="00532CC8">
        <w:t>κρίσης χρεωμένης επιχείρησης, η κεφαλαιοποίηση των ληξιπρόθεσμων οφειλών και η προστασία των νεοεισερχόμενων στον κλάδο των επιτηδευματιών</w:t>
      </w:r>
      <w:r>
        <w:t xml:space="preserve"> αποτελούν επίσης βασικά ζητήματα που κρίνονται ως προτεραιότητες από τους επιχειρηματίες</w:t>
      </w:r>
      <w:r w:rsidRPr="00532CC8">
        <w:t>.</w:t>
      </w:r>
    </w:p>
    <w:p w:rsidR="00017A13" w:rsidRDefault="00017A13" w:rsidP="00017A13">
      <w:pPr>
        <w:pStyle w:val="a3"/>
        <w:numPr>
          <w:ilvl w:val="0"/>
          <w:numId w:val="17"/>
        </w:numPr>
        <w:jc w:val="both"/>
      </w:pPr>
      <w:r>
        <w:t xml:space="preserve">Η παραπάνω εικόνα μένει αναλλοίωτη συγκρίνοντας τις επιχειρήσεις ανά κατηγορίες στα περισσότερα χαρακτηριστικά τους. </w:t>
      </w:r>
    </w:p>
    <w:p w:rsidR="00017A13" w:rsidRPr="00017A13" w:rsidRDefault="00017A13" w:rsidP="00017A13">
      <w:pPr>
        <w:tabs>
          <w:tab w:val="left" w:pos="2130"/>
        </w:tabs>
        <w:rPr>
          <w:rFonts w:cstheme="minorHAnsi"/>
          <w:sz w:val="24"/>
          <w:szCs w:val="24"/>
        </w:rPr>
      </w:pPr>
    </w:p>
    <w:sectPr w:rsidR="00017A13" w:rsidRPr="00017A13" w:rsidSect="003A41FD">
      <w:footerReference w:type="default" r:id="rId14"/>
      <w:pgSz w:w="11906" w:h="16838"/>
      <w:pgMar w:top="709" w:right="991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3EF" w:rsidRDefault="003153EF" w:rsidP="002363E2">
      <w:pPr>
        <w:spacing w:after="0" w:line="240" w:lineRule="auto"/>
      </w:pPr>
      <w:r>
        <w:separator/>
      </w:r>
    </w:p>
  </w:endnote>
  <w:endnote w:type="continuationSeparator" w:id="0">
    <w:p w:rsidR="003153EF" w:rsidRDefault="003153EF" w:rsidP="00236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94759"/>
      <w:docPartObj>
        <w:docPartGallery w:val="Page Numbers (Bottom of Page)"/>
        <w:docPartUnique/>
      </w:docPartObj>
    </w:sdtPr>
    <w:sdtContent>
      <w:p w:rsidR="00636ED4" w:rsidRDefault="00D5286E">
        <w:pPr>
          <w:pStyle w:val="a5"/>
          <w:jc w:val="right"/>
        </w:pPr>
        <w:fldSimple w:instr=" PAGE   \* MERGEFORMAT ">
          <w:r w:rsidR="00B15856">
            <w:rPr>
              <w:noProof/>
            </w:rPr>
            <w:t>1</w:t>
          </w:r>
        </w:fldSimple>
      </w:p>
    </w:sdtContent>
  </w:sdt>
  <w:p w:rsidR="00017A13" w:rsidRDefault="00017A1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3EF" w:rsidRDefault="003153EF" w:rsidP="002363E2">
      <w:pPr>
        <w:spacing w:after="0" w:line="240" w:lineRule="auto"/>
      </w:pPr>
      <w:r>
        <w:separator/>
      </w:r>
    </w:p>
  </w:footnote>
  <w:footnote w:type="continuationSeparator" w:id="0">
    <w:p w:rsidR="003153EF" w:rsidRDefault="003153EF" w:rsidP="00236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11B"/>
    <w:multiLevelType w:val="hybridMultilevel"/>
    <w:tmpl w:val="C0CCFF1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B7ABD"/>
    <w:multiLevelType w:val="hybridMultilevel"/>
    <w:tmpl w:val="06789E5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D74B8"/>
    <w:multiLevelType w:val="hybridMultilevel"/>
    <w:tmpl w:val="9AA2D2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70FBC"/>
    <w:multiLevelType w:val="hybridMultilevel"/>
    <w:tmpl w:val="BA4C86D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24B4B"/>
    <w:multiLevelType w:val="hybridMultilevel"/>
    <w:tmpl w:val="A5FC33D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508C9"/>
    <w:multiLevelType w:val="hybridMultilevel"/>
    <w:tmpl w:val="91AC16F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CA3E01"/>
    <w:multiLevelType w:val="hybridMultilevel"/>
    <w:tmpl w:val="E3B63F9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474E00"/>
    <w:multiLevelType w:val="hybridMultilevel"/>
    <w:tmpl w:val="1436C8B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620315"/>
    <w:multiLevelType w:val="hybridMultilevel"/>
    <w:tmpl w:val="B20C1BE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C575E9"/>
    <w:multiLevelType w:val="hybridMultilevel"/>
    <w:tmpl w:val="557E2F2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BD16BA"/>
    <w:multiLevelType w:val="hybridMultilevel"/>
    <w:tmpl w:val="377E6E92"/>
    <w:lvl w:ilvl="0" w:tplc="F78657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4362BD"/>
    <w:multiLevelType w:val="hybridMultilevel"/>
    <w:tmpl w:val="4C8C1C3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890B3A"/>
    <w:multiLevelType w:val="hybridMultilevel"/>
    <w:tmpl w:val="4EA22650"/>
    <w:lvl w:ilvl="0" w:tplc="6A362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E97576"/>
    <w:multiLevelType w:val="hybridMultilevel"/>
    <w:tmpl w:val="222E80E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0C4712"/>
    <w:multiLevelType w:val="hybridMultilevel"/>
    <w:tmpl w:val="8A0A2B8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262F10"/>
    <w:multiLevelType w:val="hybridMultilevel"/>
    <w:tmpl w:val="6CFC89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E87EFB"/>
    <w:multiLevelType w:val="hybridMultilevel"/>
    <w:tmpl w:val="51B2A62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0"/>
  </w:num>
  <w:num w:numId="5">
    <w:abstractNumId w:val="16"/>
  </w:num>
  <w:num w:numId="6">
    <w:abstractNumId w:val="9"/>
  </w:num>
  <w:num w:numId="7">
    <w:abstractNumId w:val="13"/>
  </w:num>
  <w:num w:numId="8">
    <w:abstractNumId w:val="11"/>
  </w:num>
  <w:num w:numId="9">
    <w:abstractNumId w:val="14"/>
  </w:num>
  <w:num w:numId="10">
    <w:abstractNumId w:val="6"/>
  </w:num>
  <w:num w:numId="11">
    <w:abstractNumId w:val="1"/>
  </w:num>
  <w:num w:numId="12">
    <w:abstractNumId w:val="0"/>
  </w:num>
  <w:num w:numId="13">
    <w:abstractNumId w:val="3"/>
  </w:num>
  <w:num w:numId="14">
    <w:abstractNumId w:val="7"/>
  </w:num>
  <w:num w:numId="15">
    <w:abstractNumId w:val="12"/>
  </w:num>
  <w:num w:numId="16">
    <w:abstractNumId w:val="2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1398"/>
    <w:rsid w:val="00002427"/>
    <w:rsid w:val="00017A13"/>
    <w:rsid w:val="00052A4C"/>
    <w:rsid w:val="00063827"/>
    <w:rsid w:val="000C3F02"/>
    <w:rsid w:val="000F519D"/>
    <w:rsid w:val="00117704"/>
    <w:rsid w:val="00131398"/>
    <w:rsid w:val="001510FA"/>
    <w:rsid w:val="00156EBB"/>
    <w:rsid w:val="001854EA"/>
    <w:rsid w:val="001958B5"/>
    <w:rsid w:val="00196014"/>
    <w:rsid w:val="001A0823"/>
    <w:rsid w:val="001F1289"/>
    <w:rsid w:val="001F4F54"/>
    <w:rsid w:val="002363E2"/>
    <w:rsid w:val="002433C7"/>
    <w:rsid w:val="002A7BD6"/>
    <w:rsid w:val="002C489C"/>
    <w:rsid w:val="002F76E1"/>
    <w:rsid w:val="00306933"/>
    <w:rsid w:val="00310380"/>
    <w:rsid w:val="003153EF"/>
    <w:rsid w:val="00321636"/>
    <w:rsid w:val="00353B4E"/>
    <w:rsid w:val="003714D4"/>
    <w:rsid w:val="003A41FD"/>
    <w:rsid w:val="003B03D9"/>
    <w:rsid w:val="004230F9"/>
    <w:rsid w:val="00432F97"/>
    <w:rsid w:val="0044029B"/>
    <w:rsid w:val="004675F3"/>
    <w:rsid w:val="004A0325"/>
    <w:rsid w:val="004A2F02"/>
    <w:rsid w:val="004B508B"/>
    <w:rsid w:val="004E066F"/>
    <w:rsid w:val="00501626"/>
    <w:rsid w:val="005054D6"/>
    <w:rsid w:val="0052656D"/>
    <w:rsid w:val="00535716"/>
    <w:rsid w:val="00571FFE"/>
    <w:rsid w:val="00577EF2"/>
    <w:rsid w:val="005A39AC"/>
    <w:rsid w:val="0062427D"/>
    <w:rsid w:val="00636ED4"/>
    <w:rsid w:val="00637E2F"/>
    <w:rsid w:val="0064165A"/>
    <w:rsid w:val="00662006"/>
    <w:rsid w:val="00676BE2"/>
    <w:rsid w:val="00684562"/>
    <w:rsid w:val="00726AC8"/>
    <w:rsid w:val="00744A8A"/>
    <w:rsid w:val="00753BF9"/>
    <w:rsid w:val="00774028"/>
    <w:rsid w:val="00791A44"/>
    <w:rsid w:val="00795001"/>
    <w:rsid w:val="007D254E"/>
    <w:rsid w:val="007F0814"/>
    <w:rsid w:val="00852D21"/>
    <w:rsid w:val="00855E87"/>
    <w:rsid w:val="00863783"/>
    <w:rsid w:val="008652D9"/>
    <w:rsid w:val="0089437D"/>
    <w:rsid w:val="008C2A77"/>
    <w:rsid w:val="008C73DC"/>
    <w:rsid w:val="00931F4B"/>
    <w:rsid w:val="009563A3"/>
    <w:rsid w:val="009C0D23"/>
    <w:rsid w:val="009D3260"/>
    <w:rsid w:val="00A37148"/>
    <w:rsid w:val="00A43F6C"/>
    <w:rsid w:val="00A633CD"/>
    <w:rsid w:val="00A721D8"/>
    <w:rsid w:val="00AA5A52"/>
    <w:rsid w:val="00AC118C"/>
    <w:rsid w:val="00AE3094"/>
    <w:rsid w:val="00B041FF"/>
    <w:rsid w:val="00B15856"/>
    <w:rsid w:val="00B731CC"/>
    <w:rsid w:val="00BB435A"/>
    <w:rsid w:val="00C35FCD"/>
    <w:rsid w:val="00C85F89"/>
    <w:rsid w:val="00C95928"/>
    <w:rsid w:val="00CB3CCC"/>
    <w:rsid w:val="00CC37A4"/>
    <w:rsid w:val="00D44686"/>
    <w:rsid w:val="00D44C0C"/>
    <w:rsid w:val="00D46223"/>
    <w:rsid w:val="00D516E4"/>
    <w:rsid w:val="00D5286E"/>
    <w:rsid w:val="00D804C6"/>
    <w:rsid w:val="00DA22A8"/>
    <w:rsid w:val="00DC3CCF"/>
    <w:rsid w:val="00DE5FCA"/>
    <w:rsid w:val="00DF4089"/>
    <w:rsid w:val="00E84373"/>
    <w:rsid w:val="00E9795C"/>
    <w:rsid w:val="00EB0910"/>
    <w:rsid w:val="00EC08C8"/>
    <w:rsid w:val="00EC7036"/>
    <w:rsid w:val="00F03DD4"/>
    <w:rsid w:val="00F636AA"/>
    <w:rsid w:val="00FD1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636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2363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2363E2"/>
  </w:style>
  <w:style w:type="paragraph" w:styleId="a5">
    <w:name w:val="footer"/>
    <w:basedOn w:val="a"/>
    <w:link w:val="Char0"/>
    <w:uiPriority w:val="99"/>
    <w:unhideWhenUsed/>
    <w:rsid w:val="002363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363E2"/>
  </w:style>
  <w:style w:type="character" w:styleId="a6">
    <w:name w:val="Strong"/>
    <w:basedOn w:val="a0"/>
    <w:uiPriority w:val="22"/>
    <w:qFormat/>
    <w:rsid w:val="00DA22A8"/>
    <w:rPr>
      <w:b/>
      <w:bCs/>
    </w:rPr>
  </w:style>
  <w:style w:type="paragraph" w:styleId="Web">
    <w:name w:val="Normal (Web)"/>
    <w:basedOn w:val="a"/>
    <w:uiPriority w:val="99"/>
    <w:semiHidden/>
    <w:unhideWhenUsed/>
    <w:rsid w:val="00DA22A8"/>
    <w:pPr>
      <w:spacing w:after="0" w:line="240" w:lineRule="auto"/>
    </w:pPr>
    <w:rPr>
      <w:rFonts w:ascii="Times New Roman" w:eastAsia="Times New Roman" w:hAnsi="Times New Roman" w:cs="Times New Roman"/>
      <w:color w:val="111111"/>
      <w:sz w:val="20"/>
      <w:szCs w:val="20"/>
      <w:lang w:eastAsia="el-GR"/>
    </w:rPr>
  </w:style>
  <w:style w:type="table" w:styleId="a7">
    <w:name w:val="Table Grid"/>
    <w:basedOn w:val="a1"/>
    <w:uiPriority w:val="59"/>
    <w:rsid w:val="00BB4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aption"/>
    <w:basedOn w:val="a"/>
    <w:next w:val="a"/>
    <w:uiPriority w:val="35"/>
    <w:unhideWhenUsed/>
    <w:qFormat/>
    <w:rsid w:val="007F081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063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0638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4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621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7" w:color="CCCCCC"/>
            <w:bottom w:val="none" w:sz="0" w:space="0" w:color="auto"/>
            <w:right w:val="single" w:sz="6" w:space="17" w:color="CCCCCC"/>
          </w:divBdr>
          <w:divsChild>
            <w:div w:id="50883422">
              <w:marLeft w:val="0"/>
              <w:marRight w:val="0"/>
              <w:marTop w:val="100"/>
              <w:marBottom w:val="0"/>
              <w:divBdr>
                <w:top w:val="single" w:sz="6" w:space="0" w:color="E2E2E2"/>
                <w:left w:val="single" w:sz="6" w:space="0" w:color="E2E2E2"/>
                <w:bottom w:val="single" w:sz="2" w:space="0" w:color="E2E2E2"/>
                <w:right w:val="single" w:sz="6" w:space="0" w:color="E2E2E2"/>
              </w:divBdr>
              <w:divsChild>
                <w:div w:id="15350841">
                  <w:marLeft w:val="0"/>
                  <w:marRight w:val="0"/>
                  <w:marTop w:val="0"/>
                  <w:marBottom w:val="0"/>
                  <w:divBdr>
                    <w:top w:val="single" w:sz="36" w:space="0" w:color="55555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467755">
                      <w:marLeft w:val="0"/>
                      <w:marRight w:val="0"/>
                      <w:marTop w:val="38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539802">
                          <w:marLeft w:val="234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2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8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390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7" w:color="CCCCCC"/>
            <w:bottom w:val="none" w:sz="0" w:space="0" w:color="auto"/>
            <w:right w:val="single" w:sz="6" w:space="17" w:color="CCCCCC"/>
          </w:divBdr>
          <w:divsChild>
            <w:div w:id="389231542">
              <w:marLeft w:val="0"/>
              <w:marRight w:val="0"/>
              <w:marTop w:val="100"/>
              <w:marBottom w:val="0"/>
              <w:divBdr>
                <w:top w:val="single" w:sz="6" w:space="0" w:color="E2E2E2"/>
                <w:left w:val="single" w:sz="6" w:space="0" w:color="E2E2E2"/>
                <w:bottom w:val="single" w:sz="2" w:space="0" w:color="E2E2E2"/>
                <w:right w:val="single" w:sz="6" w:space="0" w:color="E2E2E2"/>
              </w:divBdr>
              <w:divsChild>
                <w:div w:id="2107730979">
                  <w:marLeft w:val="0"/>
                  <w:marRight w:val="0"/>
                  <w:marTop w:val="0"/>
                  <w:marBottom w:val="0"/>
                  <w:divBdr>
                    <w:top w:val="single" w:sz="36" w:space="0" w:color="55555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30878">
                      <w:marLeft w:val="0"/>
                      <w:marRight w:val="0"/>
                      <w:marTop w:val="38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051483">
                          <w:marLeft w:val="234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5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6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70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7" w:color="CCCCCC"/>
            <w:bottom w:val="none" w:sz="0" w:space="0" w:color="auto"/>
            <w:right w:val="single" w:sz="6" w:space="17" w:color="CCCCCC"/>
          </w:divBdr>
          <w:divsChild>
            <w:div w:id="324088709">
              <w:marLeft w:val="0"/>
              <w:marRight w:val="0"/>
              <w:marTop w:val="100"/>
              <w:marBottom w:val="0"/>
              <w:divBdr>
                <w:top w:val="single" w:sz="6" w:space="0" w:color="E2E2E2"/>
                <w:left w:val="single" w:sz="6" w:space="0" w:color="E2E2E2"/>
                <w:bottom w:val="single" w:sz="2" w:space="0" w:color="E2E2E2"/>
                <w:right w:val="single" w:sz="6" w:space="0" w:color="E2E2E2"/>
              </w:divBdr>
              <w:divsChild>
                <w:div w:id="98332827">
                  <w:marLeft w:val="0"/>
                  <w:marRight w:val="0"/>
                  <w:marTop w:val="0"/>
                  <w:marBottom w:val="0"/>
                  <w:divBdr>
                    <w:top w:val="single" w:sz="36" w:space="0" w:color="55555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18153">
                      <w:marLeft w:val="0"/>
                      <w:marRight w:val="0"/>
                      <w:marTop w:val="38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049440">
                          <w:marLeft w:val="234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14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0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5748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7" w:color="CCCCCC"/>
            <w:bottom w:val="none" w:sz="0" w:space="0" w:color="auto"/>
            <w:right w:val="single" w:sz="6" w:space="17" w:color="CCCCCC"/>
          </w:divBdr>
          <w:divsChild>
            <w:div w:id="1797865284">
              <w:marLeft w:val="0"/>
              <w:marRight w:val="0"/>
              <w:marTop w:val="100"/>
              <w:marBottom w:val="0"/>
              <w:divBdr>
                <w:top w:val="single" w:sz="6" w:space="0" w:color="E2E2E2"/>
                <w:left w:val="single" w:sz="6" w:space="0" w:color="E2E2E2"/>
                <w:bottom w:val="single" w:sz="2" w:space="0" w:color="E2E2E2"/>
                <w:right w:val="single" w:sz="6" w:space="0" w:color="E2E2E2"/>
              </w:divBdr>
              <w:divsChild>
                <w:div w:id="1144279122">
                  <w:marLeft w:val="0"/>
                  <w:marRight w:val="0"/>
                  <w:marTop w:val="0"/>
                  <w:marBottom w:val="0"/>
                  <w:divBdr>
                    <w:top w:val="single" w:sz="36" w:space="0" w:color="55555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3394">
                      <w:marLeft w:val="0"/>
                      <w:marRight w:val="0"/>
                      <w:marTop w:val="38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775977">
                          <w:marLeft w:val="234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38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887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7" w:color="CCCCCC"/>
            <w:bottom w:val="none" w:sz="0" w:space="0" w:color="auto"/>
            <w:right w:val="single" w:sz="6" w:space="17" w:color="CCCCCC"/>
          </w:divBdr>
          <w:divsChild>
            <w:div w:id="90467704">
              <w:marLeft w:val="0"/>
              <w:marRight w:val="0"/>
              <w:marTop w:val="100"/>
              <w:marBottom w:val="0"/>
              <w:divBdr>
                <w:top w:val="single" w:sz="6" w:space="0" w:color="E2E2E2"/>
                <w:left w:val="single" w:sz="6" w:space="0" w:color="E2E2E2"/>
                <w:bottom w:val="single" w:sz="2" w:space="0" w:color="E2E2E2"/>
                <w:right w:val="single" w:sz="6" w:space="0" w:color="E2E2E2"/>
              </w:divBdr>
              <w:divsChild>
                <w:div w:id="691421345">
                  <w:marLeft w:val="0"/>
                  <w:marRight w:val="0"/>
                  <w:marTop w:val="0"/>
                  <w:marBottom w:val="0"/>
                  <w:divBdr>
                    <w:top w:val="single" w:sz="36" w:space="0" w:color="55555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2079">
                      <w:marLeft w:val="0"/>
                      <w:marRight w:val="0"/>
                      <w:marTop w:val="38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77156">
                          <w:marLeft w:val="234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00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4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45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7" w:color="CCCCCC"/>
            <w:bottom w:val="none" w:sz="0" w:space="0" w:color="auto"/>
            <w:right w:val="single" w:sz="6" w:space="17" w:color="CCCCCC"/>
          </w:divBdr>
          <w:divsChild>
            <w:div w:id="221521527">
              <w:marLeft w:val="0"/>
              <w:marRight w:val="0"/>
              <w:marTop w:val="100"/>
              <w:marBottom w:val="0"/>
              <w:divBdr>
                <w:top w:val="single" w:sz="6" w:space="0" w:color="E2E2E2"/>
                <w:left w:val="single" w:sz="6" w:space="0" w:color="E2E2E2"/>
                <w:bottom w:val="single" w:sz="2" w:space="0" w:color="E2E2E2"/>
                <w:right w:val="single" w:sz="6" w:space="0" w:color="E2E2E2"/>
              </w:divBdr>
              <w:divsChild>
                <w:div w:id="5330954">
                  <w:marLeft w:val="0"/>
                  <w:marRight w:val="0"/>
                  <w:marTop w:val="0"/>
                  <w:marBottom w:val="0"/>
                  <w:divBdr>
                    <w:top w:val="single" w:sz="36" w:space="0" w:color="55555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346246">
                      <w:marLeft w:val="0"/>
                      <w:marRight w:val="0"/>
                      <w:marTop w:val="38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64589">
                          <w:marLeft w:val="234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2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0644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7" w:color="CCCCCC"/>
            <w:bottom w:val="none" w:sz="0" w:space="0" w:color="auto"/>
            <w:right w:val="single" w:sz="6" w:space="17" w:color="CCCCCC"/>
          </w:divBdr>
          <w:divsChild>
            <w:div w:id="2135824167">
              <w:marLeft w:val="0"/>
              <w:marRight w:val="0"/>
              <w:marTop w:val="100"/>
              <w:marBottom w:val="0"/>
              <w:divBdr>
                <w:top w:val="single" w:sz="6" w:space="0" w:color="E2E2E2"/>
                <w:left w:val="single" w:sz="6" w:space="0" w:color="E2E2E2"/>
                <w:bottom w:val="single" w:sz="2" w:space="0" w:color="E2E2E2"/>
                <w:right w:val="single" w:sz="6" w:space="0" w:color="E2E2E2"/>
              </w:divBdr>
              <w:divsChild>
                <w:div w:id="1683974118">
                  <w:marLeft w:val="0"/>
                  <w:marRight w:val="0"/>
                  <w:marTop w:val="0"/>
                  <w:marBottom w:val="0"/>
                  <w:divBdr>
                    <w:top w:val="single" w:sz="36" w:space="0" w:color="55555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901">
                      <w:marLeft w:val="0"/>
                      <w:marRight w:val="0"/>
                      <w:marTop w:val="38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062738">
                          <w:marLeft w:val="234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38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5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33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7" w:color="CCCCCC"/>
            <w:bottom w:val="none" w:sz="0" w:space="0" w:color="auto"/>
            <w:right w:val="single" w:sz="6" w:space="17" w:color="CCCCCC"/>
          </w:divBdr>
          <w:divsChild>
            <w:div w:id="2018342310">
              <w:marLeft w:val="0"/>
              <w:marRight w:val="0"/>
              <w:marTop w:val="100"/>
              <w:marBottom w:val="0"/>
              <w:divBdr>
                <w:top w:val="single" w:sz="6" w:space="0" w:color="E2E2E2"/>
                <w:left w:val="single" w:sz="6" w:space="0" w:color="E2E2E2"/>
                <w:bottom w:val="single" w:sz="2" w:space="0" w:color="E2E2E2"/>
                <w:right w:val="single" w:sz="6" w:space="0" w:color="E2E2E2"/>
              </w:divBdr>
              <w:divsChild>
                <w:div w:id="1230994971">
                  <w:marLeft w:val="0"/>
                  <w:marRight w:val="0"/>
                  <w:marTop w:val="0"/>
                  <w:marBottom w:val="0"/>
                  <w:divBdr>
                    <w:top w:val="single" w:sz="36" w:space="0" w:color="55555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23898">
                      <w:marLeft w:val="0"/>
                      <w:marRight w:val="0"/>
                      <w:marTop w:val="38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873601">
                          <w:marLeft w:val="234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73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751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7" w:color="CCCCCC"/>
            <w:bottom w:val="none" w:sz="0" w:space="0" w:color="auto"/>
            <w:right w:val="single" w:sz="6" w:space="17" w:color="CCCCCC"/>
          </w:divBdr>
          <w:divsChild>
            <w:div w:id="2097633014">
              <w:marLeft w:val="0"/>
              <w:marRight w:val="0"/>
              <w:marTop w:val="100"/>
              <w:marBottom w:val="0"/>
              <w:divBdr>
                <w:top w:val="single" w:sz="6" w:space="0" w:color="E2E2E2"/>
                <w:left w:val="single" w:sz="6" w:space="0" w:color="E2E2E2"/>
                <w:bottom w:val="single" w:sz="2" w:space="0" w:color="E2E2E2"/>
                <w:right w:val="single" w:sz="6" w:space="0" w:color="E2E2E2"/>
              </w:divBdr>
              <w:divsChild>
                <w:div w:id="847401419">
                  <w:marLeft w:val="0"/>
                  <w:marRight w:val="0"/>
                  <w:marTop w:val="0"/>
                  <w:marBottom w:val="0"/>
                  <w:divBdr>
                    <w:top w:val="single" w:sz="36" w:space="0" w:color="55555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80943">
                      <w:marLeft w:val="0"/>
                      <w:marRight w:val="0"/>
                      <w:marTop w:val="38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52858">
                          <w:marLeft w:val="234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68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9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068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7" w:color="CCCCCC"/>
            <w:bottom w:val="none" w:sz="0" w:space="0" w:color="auto"/>
            <w:right w:val="single" w:sz="6" w:space="17" w:color="CCCCCC"/>
          </w:divBdr>
          <w:divsChild>
            <w:div w:id="1285426741">
              <w:marLeft w:val="0"/>
              <w:marRight w:val="0"/>
              <w:marTop w:val="100"/>
              <w:marBottom w:val="0"/>
              <w:divBdr>
                <w:top w:val="single" w:sz="6" w:space="0" w:color="E2E2E2"/>
                <w:left w:val="single" w:sz="6" w:space="0" w:color="E2E2E2"/>
                <w:bottom w:val="single" w:sz="2" w:space="0" w:color="E2E2E2"/>
                <w:right w:val="single" w:sz="6" w:space="0" w:color="E2E2E2"/>
              </w:divBdr>
              <w:divsChild>
                <w:div w:id="1387876283">
                  <w:marLeft w:val="0"/>
                  <w:marRight w:val="0"/>
                  <w:marTop w:val="0"/>
                  <w:marBottom w:val="0"/>
                  <w:divBdr>
                    <w:top w:val="single" w:sz="36" w:space="0" w:color="55555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08754">
                      <w:marLeft w:val="0"/>
                      <w:marRight w:val="0"/>
                      <w:marTop w:val="38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812210">
                          <w:marLeft w:val="234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8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4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55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7" w:color="CCCCCC"/>
            <w:bottom w:val="none" w:sz="0" w:space="0" w:color="auto"/>
            <w:right w:val="single" w:sz="6" w:space="17" w:color="CCCCCC"/>
          </w:divBdr>
          <w:divsChild>
            <w:div w:id="1966306263">
              <w:marLeft w:val="0"/>
              <w:marRight w:val="0"/>
              <w:marTop w:val="100"/>
              <w:marBottom w:val="0"/>
              <w:divBdr>
                <w:top w:val="single" w:sz="6" w:space="0" w:color="E2E2E2"/>
                <w:left w:val="single" w:sz="6" w:space="0" w:color="E2E2E2"/>
                <w:bottom w:val="single" w:sz="2" w:space="0" w:color="E2E2E2"/>
                <w:right w:val="single" w:sz="6" w:space="0" w:color="E2E2E2"/>
              </w:divBdr>
              <w:divsChild>
                <w:div w:id="1454178360">
                  <w:marLeft w:val="0"/>
                  <w:marRight w:val="0"/>
                  <w:marTop w:val="0"/>
                  <w:marBottom w:val="0"/>
                  <w:divBdr>
                    <w:top w:val="single" w:sz="36" w:space="0" w:color="55555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96777">
                      <w:marLeft w:val="0"/>
                      <w:marRight w:val="0"/>
                      <w:marTop w:val="38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996648">
                          <w:marLeft w:val="234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56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hart" Target="charts/chart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ikgeo\Desktop\&#913;&#963;&#966;&#945;&#955;&#953;&#963;&#964;&#953;&#954;&#972;%20&#925;&#959;&#956;&#959;&#963;&#967;&#941;&#948;&#953;&#959;_20_4_2016\&#913;&#963;&#966;&#945;&#955;&#953;&#963;&#964;&#953;&#954;&#959;%20&#934;&#959;&#961;&#959;&#955;&#959;&#947;&#953;&#954;&#959;_&#922;&#959;&#955;&#959;&#954;&#965;&#952;&#940;&#96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ikgeo\Desktop\&#913;&#963;&#966;&#945;&#955;&#953;&#963;&#964;&#953;&#954;&#972;%20&#925;&#959;&#956;&#959;&#963;&#967;&#941;&#948;&#953;&#959;_20_4_2016\&#913;&#963;&#966;&#945;&#955;&#953;&#963;&#964;&#953;&#954;&#959;%20&#934;&#959;&#961;&#959;&#955;&#959;&#947;&#953;&#954;&#959;_&#922;&#959;&#955;&#959;&#954;&#965;&#952;&#940;&#962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ikgeo\Desktop\&#913;&#963;&#966;&#945;&#955;&#953;&#963;&#964;&#953;&#954;&#972;%20&#925;&#959;&#956;&#959;&#963;&#967;&#941;&#948;&#953;&#959;_20_4_2016\&#913;&#963;&#966;&#945;&#955;&#953;&#963;&#964;&#953;&#954;&#959;%20&#934;&#959;&#961;&#959;&#955;&#959;&#947;&#953;&#954;&#959;_&#922;&#959;&#955;&#959;&#954;&#965;&#952;&#940;&#962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ikgeo\Desktop\&#913;&#963;&#966;&#945;&#955;&#953;&#963;&#964;&#953;&#954;&#972;%20&#925;&#959;&#956;&#959;&#963;&#967;&#941;&#948;&#953;&#959;_20_4_2016\&#913;&#963;&#966;&#945;&#955;&#953;&#963;&#964;&#953;&#954;&#959;%20&#934;&#959;&#961;&#959;&#955;&#959;&#947;&#953;&#954;&#959;_&#922;&#959;&#955;&#959;&#954;&#965;&#952;&#940;&#962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ikgeo\Desktop\&#913;&#963;&#966;&#945;&#955;&#953;&#963;&#964;&#953;&#954;&#972;%20&#925;&#959;&#956;&#959;&#963;&#967;&#941;&#948;&#953;&#959;_20_4_2016\&#913;&#963;&#966;&#945;&#955;&#953;&#963;&#964;&#953;&#954;&#959;%20&#934;&#959;&#961;&#959;&#955;&#959;&#947;&#953;&#954;&#959;_&#922;&#959;&#955;&#959;&#954;&#965;&#952;&#940;&#962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ikgeo\Desktop\&#913;&#963;&#966;&#945;&#955;&#953;&#963;&#964;&#953;&#954;&#972;%20&#925;&#959;&#956;&#959;&#963;&#967;&#941;&#948;&#953;&#959;_20_4_2016\&#913;&#963;&#966;&#945;&#955;&#953;&#963;&#964;&#953;&#954;&#959;%20&#934;&#959;&#961;&#959;&#955;&#959;&#947;&#953;&#954;&#959;_&#922;&#959;&#955;&#959;&#954;&#965;&#952;&#940;&#96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l-GR"/>
  <c:roundedCorners val="1"/>
  <c:chart>
    <c:title>
      <c:tx>
        <c:rich>
          <a:bodyPr/>
          <a:lstStyle/>
          <a:p>
            <a:pPr>
              <a:defRPr/>
            </a:pPr>
            <a:r>
              <a:rPr lang="el-GR" sz="1350" b="1" i="0" baseline="0"/>
              <a:t>Διάγραμμα 1: </a:t>
            </a:r>
            <a:r>
              <a:rPr lang="el-GR" sz="1200" b="1" i="0" baseline="0"/>
              <a:t>Βαθμός σπουδαιότητας προβλημάτων</a:t>
            </a:r>
            <a:r>
              <a:rPr lang="en-GB" sz="1200" b="1" i="0" baseline="0"/>
              <a:t> </a:t>
            </a:r>
            <a:r>
              <a:rPr lang="el-GR" sz="1200" b="1" i="0" baseline="0"/>
              <a:t>που αντιμετωπίζουν σήμερα οι ασφαλισμένοι του ΟΑΕΕ</a:t>
            </a:r>
          </a:p>
        </c:rich>
      </c:tx>
    </c:title>
    <c:view3D>
      <c:rotX val="0"/>
      <c:rotY val="0"/>
      <c:rAngAx val="1"/>
    </c:view3D>
    <c:plotArea>
      <c:layout/>
      <c:bar3DChart>
        <c:barDir val="bar"/>
        <c:grouping val="percentStacked"/>
        <c:ser>
          <c:idx val="0"/>
          <c:order val="0"/>
          <c:tx>
            <c:strRef>
              <c:f>'ασφαλιστικο προβληματα'!$A$23</c:f>
              <c:strCache>
                <c:ptCount val="1"/>
                <c:pt idx="0">
                  <c:v>Μικρός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el-GR"/>
              </a:p>
            </c:txPr>
            <c:showVal val="1"/>
          </c:dLbls>
          <c:cat>
            <c:strRef>
              <c:f>'ασφαλιστικο προβληματα'!$B$22:$E$22</c:f>
              <c:strCache>
                <c:ptCount val="4"/>
                <c:pt idx="0">
                  <c:v>Το υφιστάμενο πλαίσιο ρύθμισης ληξιπρόθεσμων οφειλών</c:v>
                </c:pt>
                <c:pt idx="1">
                  <c:v>Τη μη διασύνδεση των καταβληθέντων εισφορών με τα δηλωθέντα εισοδήματα</c:v>
                </c:pt>
                <c:pt idx="2">
                  <c:v>Το ύψος των ασφαλιστικών εισφορών</c:v>
                </c:pt>
                <c:pt idx="3">
                  <c:v>Το βαθμό ανταποδοτικότητας εισφορών - παροχών</c:v>
                </c:pt>
              </c:strCache>
            </c:strRef>
          </c:cat>
          <c:val>
            <c:numRef>
              <c:f>'ασφαλιστικο προβληματα'!$B$23:$E$23</c:f>
              <c:numCache>
                <c:formatCode>0</c:formatCode>
                <c:ptCount val="4"/>
                <c:pt idx="0">
                  <c:v>24.036697247706421</c:v>
                </c:pt>
                <c:pt idx="1">
                  <c:v>5.3272450532724465</c:v>
                </c:pt>
                <c:pt idx="2">
                  <c:v>1.6224188790560505</c:v>
                </c:pt>
                <c:pt idx="3">
                  <c:v>3.5661218424962904</c:v>
                </c:pt>
              </c:numCache>
            </c:numRef>
          </c:val>
        </c:ser>
        <c:ser>
          <c:idx val="1"/>
          <c:order val="1"/>
          <c:tx>
            <c:strRef>
              <c:f>'ασφαλιστικο προβληματα'!$A$24</c:f>
              <c:strCache>
                <c:ptCount val="1"/>
                <c:pt idx="0">
                  <c:v>Μέτριος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el-GR"/>
              </a:p>
            </c:txPr>
            <c:showVal val="1"/>
          </c:dLbls>
          <c:cat>
            <c:strRef>
              <c:f>'ασφαλιστικο προβληματα'!$B$22:$E$22</c:f>
              <c:strCache>
                <c:ptCount val="4"/>
                <c:pt idx="0">
                  <c:v>Το υφιστάμενο πλαίσιο ρύθμισης ληξιπρόθεσμων οφειλών</c:v>
                </c:pt>
                <c:pt idx="1">
                  <c:v>Τη μη διασύνδεση των καταβληθέντων εισφορών με τα δηλωθέντα εισοδήματα</c:v>
                </c:pt>
                <c:pt idx="2">
                  <c:v>Το ύψος των ασφαλιστικών εισφορών</c:v>
                </c:pt>
                <c:pt idx="3">
                  <c:v>Το βαθμό ανταποδοτικότητας εισφορών - παροχών</c:v>
                </c:pt>
              </c:strCache>
            </c:strRef>
          </c:cat>
          <c:val>
            <c:numRef>
              <c:f>'ασφαλιστικο προβληματα'!$B$24:$E$24</c:f>
              <c:numCache>
                <c:formatCode>0</c:formatCode>
                <c:ptCount val="4"/>
                <c:pt idx="0">
                  <c:v>27.339449541284402</c:v>
                </c:pt>
                <c:pt idx="1">
                  <c:v>21.461187214611869</c:v>
                </c:pt>
                <c:pt idx="2">
                  <c:v>13.274336283185844</c:v>
                </c:pt>
                <c:pt idx="3">
                  <c:v>9.0638930163447267</c:v>
                </c:pt>
              </c:numCache>
            </c:numRef>
          </c:val>
        </c:ser>
        <c:ser>
          <c:idx val="2"/>
          <c:order val="2"/>
          <c:tx>
            <c:strRef>
              <c:f>'ασφαλιστικο προβληματα'!$A$25</c:f>
              <c:strCache>
                <c:ptCount val="1"/>
                <c:pt idx="0">
                  <c:v>Μεγάλος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el-GR"/>
              </a:p>
            </c:txPr>
            <c:showVal val="1"/>
          </c:dLbls>
          <c:cat>
            <c:strRef>
              <c:f>'ασφαλιστικο προβληματα'!$B$22:$E$22</c:f>
              <c:strCache>
                <c:ptCount val="4"/>
                <c:pt idx="0">
                  <c:v>Το υφιστάμενο πλαίσιο ρύθμισης ληξιπρόθεσμων οφειλών</c:v>
                </c:pt>
                <c:pt idx="1">
                  <c:v>Τη μη διασύνδεση των καταβληθέντων εισφορών με τα δηλωθέντα εισοδήματα</c:v>
                </c:pt>
                <c:pt idx="2">
                  <c:v>Το ύψος των ασφαλιστικών εισφορών</c:v>
                </c:pt>
                <c:pt idx="3">
                  <c:v>Το βαθμό ανταποδοτικότητας εισφορών - παροχών</c:v>
                </c:pt>
              </c:strCache>
            </c:strRef>
          </c:cat>
          <c:val>
            <c:numRef>
              <c:f>'ασφαλιστικο προβληματα'!$B$25:$E$25</c:f>
              <c:numCache>
                <c:formatCode>0</c:formatCode>
                <c:ptCount val="4"/>
                <c:pt idx="0">
                  <c:v>48.623853211009212</c:v>
                </c:pt>
                <c:pt idx="1">
                  <c:v>73.211567732115697</c:v>
                </c:pt>
                <c:pt idx="2">
                  <c:v>85.103244837757956</c:v>
                </c:pt>
                <c:pt idx="3">
                  <c:v>87.369985141158978</c:v>
                </c:pt>
              </c:numCache>
            </c:numRef>
          </c:val>
        </c:ser>
        <c:shape val="cylinder"/>
        <c:axId val="39622144"/>
        <c:axId val="39623680"/>
        <c:axId val="0"/>
      </c:bar3DChart>
      <c:catAx>
        <c:axId val="39622144"/>
        <c:scaling>
          <c:orientation val="minMax"/>
        </c:scaling>
        <c:axPos val="l"/>
        <c:tickLblPos val="nextTo"/>
        <c:crossAx val="39623680"/>
        <c:crosses val="autoZero"/>
        <c:auto val="1"/>
        <c:lblAlgn val="ctr"/>
        <c:lblOffset val="100"/>
      </c:catAx>
      <c:valAx>
        <c:axId val="39623680"/>
        <c:scaling>
          <c:orientation val="minMax"/>
        </c:scaling>
        <c:axPos val="b"/>
        <c:majorGridlines/>
        <c:numFmt formatCode="0%" sourceLinked="1"/>
        <c:tickLblPos val="nextTo"/>
        <c:crossAx val="39622144"/>
        <c:crosses val="autoZero"/>
        <c:crossBetween val="between"/>
      </c:valAx>
      <c:spPr>
        <a:ln w="9525"/>
      </c:spPr>
    </c:plotArea>
    <c:legend>
      <c:legendPos val="b"/>
      <c:txPr>
        <a:bodyPr/>
        <a:lstStyle/>
        <a:p>
          <a:pPr>
            <a:defRPr>
              <a:latin typeface="Calibri"/>
              <a:cs typeface="Calibri"/>
            </a:defRPr>
          </a:pPr>
          <a:endParaRPr lang="el-GR"/>
        </a:p>
      </c:txPr>
    </c:legend>
    <c:plotVisOnly val="1"/>
  </c:chart>
  <c:spPr>
    <a:gradFill>
      <a:gsLst>
        <a:gs pos="0">
          <a:srgbClr val="4F81BD">
            <a:tint val="66000"/>
            <a:satMod val="16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ln w="25400" cmpd="thickThin"/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l-GR"/>
  <c:roundedCorners val="1"/>
  <c:chart>
    <c:title>
      <c:tx>
        <c:rich>
          <a:bodyPr/>
          <a:lstStyle/>
          <a:p>
            <a:pPr>
              <a:defRPr/>
            </a:pPr>
            <a:r>
              <a:rPr lang="el-GR" sz="1350" b="1" i="0" baseline="0"/>
              <a:t>Διάγραμμα 2: </a:t>
            </a:r>
            <a:r>
              <a:rPr lang="el-GR" sz="1200" b="1" i="0" baseline="0"/>
              <a:t>Βαθμός σπουδαιότητας προβλημάτων</a:t>
            </a:r>
            <a:r>
              <a:rPr lang="en-GB" sz="1200" b="1" i="0" baseline="0"/>
              <a:t> </a:t>
            </a:r>
            <a:r>
              <a:rPr lang="el-GR" sz="1200" b="1" i="0" baseline="0"/>
              <a:t>που αντιμετωπίζουν σήμερα οι ασφαλισμένοι του ΟΑΕΕ κατά νομική μορφή</a:t>
            </a:r>
            <a:endParaRPr lang="en-GB" sz="1200"/>
          </a:p>
        </c:rich>
      </c:tx>
    </c:title>
    <c:view3D>
      <c:rotX val="0"/>
      <c:rotY val="0"/>
      <c:rAngAx val="1"/>
    </c:view3D>
    <c:plotArea>
      <c:layout/>
      <c:bar3DChart>
        <c:barDir val="bar"/>
        <c:grouping val="clustered"/>
        <c:ser>
          <c:idx val="0"/>
          <c:order val="0"/>
          <c:tx>
            <c:strRef>
              <c:f>'ασφαλιστικο προβληματα'!$A$52</c:f>
              <c:strCache>
                <c:ptCount val="1"/>
                <c:pt idx="0">
                  <c:v>ΑΕ,ΕΠΕ</c:v>
                </c:pt>
              </c:strCache>
            </c:strRef>
          </c:tx>
          <c:dLbls>
            <c:dLbl>
              <c:idx val="1"/>
              <c:layout>
                <c:manualLayout>
                  <c:x val="0"/>
                  <c:y val="2.262205668339275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el-GR"/>
              </a:p>
            </c:txPr>
            <c:showVal val="1"/>
          </c:dLbls>
          <c:cat>
            <c:strRef>
              <c:f>'ασφαλιστικο προβληματα'!$B$51:$E$51</c:f>
              <c:strCache>
                <c:ptCount val="4"/>
                <c:pt idx="0">
                  <c:v>Το υφιστάμενο πλαίσιο ρύθμισης ληξιπρόθεσμων οφειλών</c:v>
                </c:pt>
                <c:pt idx="1">
                  <c:v>Τη μη διασύνδεση των καταβληθέντων εισφορών με τα δηλωθέντα εισοδήματα</c:v>
                </c:pt>
                <c:pt idx="2">
                  <c:v>Το ύψος των ασφαλιστικών εισφορών</c:v>
                </c:pt>
                <c:pt idx="3">
                  <c:v>Το βαθμό ανταποδοτικότητας εισφορών - παροχών</c:v>
                </c:pt>
              </c:strCache>
            </c:strRef>
          </c:cat>
          <c:val>
            <c:numRef>
              <c:f>'ασφαλιστικο προβληματα'!$B$52:$E$52</c:f>
              <c:numCache>
                <c:formatCode>####.0</c:formatCode>
                <c:ptCount val="4"/>
                <c:pt idx="0">
                  <c:v>6.2833333333333439</c:v>
                </c:pt>
                <c:pt idx="1">
                  <c:v>7.7123287671232879</c:v>
                </c:pt>
                <c:pt idx="2">
                  <c:v>8.2432432432432492</c:v>
                </c:pt>
                <c:pt idx="3">
                  <c:v>8.5405405405405403</c:v>
                </c:pt>
              </c:numCache>
            </c:numRef>
          </c:val>
        </c:ser>
        <c:ser>
          <c:idx val="1"/>
          <c:order val="1"/>
          <c:tx>
            <c:strRef>
              <c:f>'ασφαλιστικο προβληματα'!$A$53</c:f>
              <c:strCache>
                <c:ptCount val="1"/>
                <c:pt idx="0">
                  <c:v>Ατομική,ΟΕ,EE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el-GR"/>
              </a:p>
            </c:txPr>
            <c:showVal val="1"/>
          </c:dLbls>
          <c:cat>
            <c:strRef>
              <c:f>'ασφαλιστικο προβληματα'!$B$51:$E$51</c:f>
              <c:strCache>
                <c:ptCount val="4"/>
                <c:pt idx="0">
                  <c:v>Το υφιστάμενο πλαίσιο ρύθμισης ληξιπρόθεσμων οφειλών</c:v>
                </c:pt>
                <c:pt idx="1">
                  <c:v>Τη μη διασύνδεση των καταβληθέντων εισφορών με τα δηλωθέντα εισοδήματα</c:v>
                </c:pt>
                <c:pt idx="2">
                  <c:v>Το ύψος των ασφαλιστικών εισφορών</c:v>
                </c:pt>
                <c:pt idx="3">
                  <c:v>Το βαθμό ανταποδοτικότητας εισφορών - παροχών</c:v>
                </c:pt>
              </c:strCache>
            </c:strRef>
          </c:cat>
          <c:val>
            <c:numRef>
              <c:f>'ασφαλιστικο προβληματα'!$B$53:$E$53</c:f>
              <c:numCache>
                <c:formatCode>####.0</c:formatCode>
                <c:ptCount val="4"/>
                <c:pt idx="0">
                  <c:v>6.4543568464730265</c:v>
                </c:pt>
                <c:pt idx="1">
                  <c:v>8.3758620689655228</c:v>
                </c:pt>
                <c:pt idx="2">
                  <c:v>9.0700000000000021</c:v>
                </c:pt>
                <c:pt idx="3">
                  <c:v>9.089075630252097</c:v>
                </c:pt>
              </c:numCache>
            </c:numRef>
          </c:val>
        </c:ser>
        <c:shape val="cylinder"/>
        <c:axId val="39785216"/>
        <c:axId val="39786752"/>
        <c:axId val="0"/>
      </c:bar3DChart>
      <c:catAx>
        <c:axId val="39785216"/>
        <c:scaling>
          <c:orientation val="minMax"/>
        </c:scaling>
        <c:axPos val="l"/>
        <c:tickLblPos val="nextTo"/>
        <c:crossAx val="39786752"/>
        <c:crosses val="autoZero"/>
        <c:auto val="1"/>
        <c:lblAlgn val="ctr"/>
        <c:lblOffset val="100"/>
      </c:catAx>
      <c:valAx>
        <c:axId val="39786752"/>
        <c:scaling>
          <c:orientation val="minMax"/>
        </c:scaling>
        <c:axPos val="b"/>
        <c:majorGridlines/>
        <c:numFmt formatCode="#,##0" sourceLinked="0"/>
        <c:tickLblPos val="nextTo"/>
        <c:crossAx val="39785216"/>
        <c:crosses val="autoZero"/>
        <c:crossBetween val="between"/>
      </c:valAx>
    </c:plotArea>
    <c:legend>
      <c:legendPos val="b"/>
    </c:legend>
    <c:plotVisOnly val="1"/>
  </c:chart>
  <c:spPr>
    <a:gradFill>
      <a:gsLst>
        <a:gs pos="0">
          <a:srgbClr val="4F81BD">
            <a:tint val="66000"/>
            <a:satMod val="16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ln w="25400" cmpd="thickThin"/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l-GR"/>
  <c:roundedCorners val="1"/>
  <c:chart>
    <c:title>
      <c:tx>
        <c:rich>
          <a:bodyPr/>
          <a:lstStyle/>
          <a:p>
            <a:pPr>
              <a:defRPr/>
            </a:pPr>
            <a:r>
              <a:rPr lang="el-GR" sz="1350" b="1" i="0" baseline="0"/>
              <a:t>Διάγραμμα 3</a:t>
            </a:r>
            <a:r>
              <a:rPr lang="el-GR" sz="1200" b="1" i="0" baseline="0"/>
              <a:t>: Βαθμός σπουδαιότητας προβλημάτων</a:t>
            </a:r>
            <a:r>
              <a:rPr lang="en-GB" sz="1200" b="1" i="0" baseline="0"/>
              <a:t> </a:t>
            </a:r>
            <a:r>
              <a:rPr lang="el-GR" sz="1200" b="1" i="0" baseline="0"/>
              <a:t>που αντιμετωπίζουν σήμερα οι ασφαλισμένοι του ΟΑΕΕ κατά μέγεθος επιχείρησης</a:t>
            </a:r>
            <a:endParaRPr lang="en-GB" sz="1200" b="1" i="0" baseline="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'ασφαλιστικο προβληματα'!$B$83</c:f>
              <c:strCache>
                <c:ptCount val="1"/>
                <c:pt idx="0">
                  <c:v>Το υφιστάμενο πλαίσιο ρύθμισης ληξιπρόθεσμων οφειλών</c:v>
                </c:pt>
              </c:strCache>
            </c:strRef>
          </c:tx>
          <c:dLbls>
            <c:dLbl>
              <c:idx val="0"/>
              <c:layout>
                <c:manualLayout>
                  <c:x val="-3.3196996208807235E-2"/>
                  <c:y val="7.1195706609714415E-2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 val="-2.9670275590551243E-2"/>
                  <c:y val="5.7868361448663933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-3.6614720034995628E-2"/>
                  <c:y val="5.3764955621827537E-2"/>
                </c:manualLayout>
              </c:layout>
              <c:dLblPos val="r"/>
              <c:showVal val="1"/>
            </c:dLbl>
            <c:txPr>
              <a:bodyPr/>
              <a:lstStyle/>
              <a:p>
                <a:pPr>
                  <a:defRPr b="1"/>
                </a:pPr>
                <a:endParaRPr lang="el-GR"/>
              </a:p>
            </c:txPr>
            <c:dLblPos val="b"/>
            <c:showVal val="1"/>
          </c:dLbls>
          <c:cat>
            <c:strRef>
              <c:f>'ασφαλιστικο προβληματα'!$A$84:$A$86</c:f>
              <c:strCache>
                <c:ptCount val="3"/>
                <c:pt idx="0">
                  <c:v>1-2 απασχολούμενοι</c:v>
                </c:pt>
                <c:pt idx="1">
                  <c:v>3-9 απασχολούμενοι</c:v>
                </c:pt>
                <c:pt idx="2">
                  <c:v>10 απασχολούμενοι και πάνω </c:v>
                </c:pt>
              </c:strCache>
            </c:strRef>
          </c:cat>
          <c:val>
            <c:numRef>
              <c:f>'ασφαλιστικο προβληματα'!$B$84:$B$86</c:f>
              <c:numCache>
                <c:formatCode>####.0</c:formatCode>
                <c:ptCount val="3"/>
                <c:pt idx="0">
                  <c:v>6.697986577181184</c:v>
                </c:pt>
                <c:pt idx="1">
                  <c:v>6.2522522522522515</c:v>
                </c:pt>
                <c:pt idx="2">
                  <c:v>4.8636363636363615</c:v>
                </c:pt>
              </c:numCache>
            </c:numRef>
          </c:val>
        </c:ser>
        <c:ser>
          <c:idx val="1"/>
          <c:order val="1"/>
          <c:tx>
            <c:strRef>
              <c:f>'ασφαλιστικο προβληματα'!$C$83</c:f>
              <c:strCache>
                <c:ptCount val="1"/>
                <c:pt idx="0">
                  <c:v>Τη μη διασύνδεση των καταβληθέντων εισφορών με τα δηλωθέντα εισοδήματα</c:v>
                </c:pt>
              </c:strCache>
            </c:strRef>
          </c:tx>
          <c:dLbls>
            <c:dLbl>
              <c:idx val="0"/>
              <c:layout>
                <c:manualLayout>
                  <c:x val="-1.0471204188481676E-2"/>
                  <c:y val="-6.1728395061728392E-3"/>
                </c:manualLayout>
              </c:layout>
              <c:dLblPos val="b"/>
              <c:showVal val="1"/>
            </c:dLbl>
            <c:dLbl>
              <c:idx val="1"/>
              <c:layout>
                <c:manualLayout>
                  <c:x val="9.6815762613006728E-3"/>
                  <c:y val="3.6298986426450491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9.6815762613006728E-3"/>
                  <c:y val="8.6274915266285248E-3"/>
                </c:manualLayout>
              </c:layout>
              <c:dLblPos val="r"/>
              <c:showVal val="1"/>
            </c:dLbl>
            <c:txPr>
              <a:bodyPr/>
              <a:lstStyle/>
              <a:p>
                <a:pPr>
                  <a:defRPr b="1"/>
                </a:pPr>
                <a:endParaRPr lang="el-GR"/>
              </a:p>
            </c:txPr>
            <c:dLblPos val="b"/>
            <c:showVal val="1"/>
          </c:dLbls>
          <c:cat>
            <c:strRef>
              <c:f>'ασφαλιστικο προβληματα'!$A$84:$A$86</c:f>
              <c:strCache>
                <c:ptCount val="3"/>
                <c:pt idx="0">
                  <c:v>1-2 απασχολούμενοι</c:v>
                </c:pt>
                <c:pt idx="1">
                  <c:v>3-9 απασχολούμενοι</c:v>
                </c:pt>
                <c:pt idx="2">
                  <c:v>10 απασχολούμενοι και πάνω </c:v>
                </c:pt>
              </c:strCache>
            </c:strRef>
          </c:cat>
          <c:val>
            <c:numRef>
              <c:f>'ασφαλιστικο προβληματα'!$C$84:$C$86</c:f>
              <c:numCache>
                <c:formatCode>####.0</c:formatCode>
                <c:ptCount val="3"/>
                <c:pt idx="0">
                  <c:v>8.5367231638417813</c:v>
                </c:pt>
                <c:pt idx="1">
                  <c:v>8.1641791044776113</c:v>
                </c:pt>
                <c:pt idx="2">
                  <c:v>6.8484848484848388</c:v>
                </c:pt>
              </c:numCache>
            </c:numRef>
          </c:val>
        </c:ser>
        <c:ser>
          <c:idx val="2"/>
          <c:order val="2"/>
          <c:tx>
            <c:strRef>
              <c:f>'ασφαλιστικο προβληματα'!$D$83</c:f>
              <c:strCache>
                <c:ptCount val="1"/>
                <c:pt idx="0">
                  <c:v>Το ύψος των ασφαλιστικών εισφορών</c:v>
                </c:pt>
              </c:strCache>
            </c:strRef>
          </c:tx>
          <c:dLbls>
            <c:dLbl>
              <c:idx val="0"/>
              <c:layout>
                <c:manualLayout>
                  <c:x val="-6.4030147273257509E-2"/>
                  <c:y val="1.3570641585271678E-2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 val="2.7371318168562396E-3"/>
                  <c:y val="1.0625882474579884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2.7371318168562396E-3"/>
                  <c:y val="4.2067987295597219E-4"/>
                </c:manualLayout>
              </c:layout>
              <c:dLblPos val="r"/>
              <c:showVal val="1"/>
            </c:dLbl>
            <c:txPr>
              <a:bodyPr/>
              <a:lstStyle/>
              <a:p>
                <a:pPr>
                  <a:defRPr b="1"/>
                </a:pPr>
                <a:endParaRPr lang="el-GR"/>
              </a:p>
            </c:txPr>
            <c:dLblPos val="b"/>
            <c:showVal val="1"/>
          </c:dLbls>
          <c:cat>
            <c:strRef>
              <c:f>'ασφαλιστικο προβληματα'!$A$84:$A$86</c:f>
              <c:strCache>
                <c:ptCount val="3"/>
                <c:pt idx="0">
                  <c:v>1-2 απασχολούμενοι</c:v>
                </c:pt>
                <c:pt idx="1">
                  <c:v>3-9 απασχολούμενοι</c:v>
                </c:pt>
                <c:pt idx="2">
                  <c:v>10 απασχολούμενοι και πάνω </c:v>
                </c:pt>
              </c:strCache>
            </c:strRef>
          </c:cat>
          <c:val>
            <c:numRef>
              <c:f>'ασφαλιστικο προβληματα'!$D$84:$D$86</c:f>
              <c:numCache>
                <c:formatCode>####.0</c:formatCode>
                <c:ptCount val="3"/>
                <c:pt idx="0">
                  <c:v>9.1680440771349758</c:v>
                </c:pt>
                <c:pt idx="1">
                  <c:v>8.848920863309349</c:v>
                </c:pt>
                <c:pt idx="2">
                  <c:v>8.029411764705868</c:v>
                </c:pt>
              </c:numCache>
            </c:numRef>
          </c:val>
        </c:ser>
        <c:ser>
          <c:idx val="3"/>
          <c:order val="3"/>
          <c:tx>
            <c:strRef>
              <c:f>'ασφαλιστικο προβληματα'!$E$83</c:f>
              <c:strCache>
                <c:ptCount val="1"/>
                <c:pt idx="0">
                  <c:v>Το βαθμό ανταποδοτικότητας εισφορών - παροχών</c:v>
                </c:pt>
              </c:strCache>
            </c:strRef>
          </c:tx>
          <c:dLbls>
            <c:dLbl>
              <c:idx val="0"/>
              <c:layout>
                <c:manualLayout>
                  <c:x val="-3.3937554680664915E-2"/>
                  <c:y val="-6.5897789653601643E-2"/>
                </c:manualLayout>
              </c:layout>
              <c:dLblPos val="r"/>
              <c:showVal val="1"/>
            </c:dLbl>
            <c:dLbl>
              <c:idx val="1"/>
              <c:layout>
                <c:manualLayout>
                  <c:x val="-8.9351851851851866E-3"/>
                  <c:y val="-4.5558143968154836E-2"/>
                </c:manualLayout>
              </c:layout>
              <c:dLblPos val="r"/>
              <c:showVal val="1"/>
            </c:dLbl>
            <c:txPr>
              <a:bodyPr/>
              <a:lstStyle/>
              <a:p>
                <a:pPr>
                  <a:defRPr b="1"/>
                </a:pPr>
                <a:endParaRPr lang="el-GR"/>
              </a:p>
            </c:txPr>
            <c:dLblPos val="t"/>
            <c:showVal val="1"/>
          </c:dLbls>
          <c:cat>
            <c:strRef>
              <c:f>'ασφαλιστικο προβληματα'!$A$84:$A$86</c:f>
              <c:strCache>
                <c:ptCount val="3"/>
                <c:pt idx="0">
                  <c:v>1-2 απασχολούμενοι</c:v>
                </c:pt>
                <c:pt idx="1">
                  <c:v>3-9 απασχολούμενοι</c:v>
                </c:pt>
                <c:pt idx="2">
                  <c:v>10 απασχολούμενοι και πάνω </c:v>
                </c:pt>
              </c:strCache>
            </c:strRef>
          </c:cat>
          <c:val>
            <c:numRef>
              <c:f>'ασφαλιστικο προβληματα'!$E$84:$E$86</c:f>
              <c:numCache>
                <c:formatCode>####.0</c:formatCode>
                <c:ptCount val="3"/>
                <c:pt idx="0">
                  <c:v>9.0388888888888719</c:v>
                </c:pt>
                <c:pt idx="1">
                  <c:v>9.090252707581234</c:v>
                </c:pt>
                <c:pt idx="2">
                  <c:v>8.4242424242424239</c:v>
                </c:pt>
              </c:numCache>
            </c:numRef>
          </c:val>
        </c:ser>
        <c:marker val="1"/>
        <c:axId val="39839616"/>
        <c:axId val="39841152"/>
      </c:lineChart>
      <c:catAx>
        <c:axId val="39839616"/>
        <c:scaling>
          <c:orientation val="minMax"/>
        </c:scaling>
        <c:axPos val="b"/>
        <c:tickLblPos val="nextTo"/>
        <c:crossAx val="39841152"/>
        <c:crosses val="autoZero"/>
        <c:auto val="1"/>
        <c:lblAlgn val="ctr"/>
        <c:lblOffset val="100"/>
      </c:catAx>
      <c:valAx>
        <c:axId val="39841152"/>
        <c:scaling>
          <c:orientation val="minMax"/>
          <c:min val="4"/>
        </c:scaling>
        <c:axPos val="l"/>
        <c:majorGridlines/>
        <c:numFmt formatCode="#,##0.0" sourceLinked="0"/>
        <c:tickLblPos val="nextTo"/>
        <c:crossAx val="39839616"/>
        <c:crosses val="autoZero"/>
        <c:crossBetween val="between"/>
      </c:valAx>
    </c:plotArea>
    <c:legend>
      <c:legendPos val="b"/>
    </c:legend>
    <c:plotVisOnly val="1"/>
  </c:chart>
  <c:spPr>
    <a:gradFill>
      <a:gsLst>
        <a:gs pos="0">
          <a:srgbClr val="4F81BD">
            <a:tint val="66000"/>
            <a:satMod val="16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ln w="25400" cmpd="thickThin"/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l-GR"/>
  <c:roundedCorners val="1"/>
  <c:chart>
    <c:title>
      <c:tx>
        <c:rich>
          <a:bodyPr/>
          <a:lstStyle/>
          <a:p>
            <a:pPr>
              <a:defRPr/>
            </a:pPr>
            <a:r>
              <a:rPr lang="el-GR" sz="1350" b="1" i="0" baseline="0"/>
              <a:t>Διάγραμμα 4: </a:t>
            </a:r>
            <a:r>
              <a:rPr lang="el-GR" sz="1200" b="1" i="0" baseline="0"/>
              <a:t>Βαθμός σπουδαιότητας προβλημάτων</a:t>
            </a:r>
            <a:r>
              <a:rPr lang="en-GB" sz="1200" b="1" i="0" baseline="0"/>
              <a:t> </a:t>
            </a:r>
            <a:r>
              <a:rPr lang="el-GR" sz="1200" b="1" i="0" baseline="0"/>
              <a:t>που αντιμετωπίζουν σήμερα οι ασφαλισμένοι του ΟΑΕΕ κατά απασχόληση μισθωτού υπαλλήλου</a:t>
            </a:r>
            <a:endParaRPr lang="en-GB" sz="1200" b="1" i="0" baseline="0"/>
          </a:p>
        </c:rich>
      </c:tx>
    </c:title>
    <c:view3D>
      <c:rotX val="0"/>
      <c:rotY val="0"/>
      <c:rAngAx val="1"/>
    </c:view3D>
    <c:plotArea>
      <c:layout/>
      <c:bar3DChart>
        <c:barDir val="bar"/>
        <c:grouping val="clustered"/>
        <c:ser>
          <c:idx val="0"/>
          <c:order val="0"/>
          <c:tx>
            <c:strRef>
              <c:f>'ασφαλιστικο προβληματα'!$A$115</c:f>
              <c:strCache>
                <c:ptCount val="1"/>
                <c:pt idx="0">
                  <c:v>Με έναν τουλάχιστον υπάλληλο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el-GR"/>
              </a:p>
            </c:txPr>
            <c:showVal val="1"/>
          </c:dLbls>
          <c:cat>
            <c:strRef>
              <c:f>'ασφαλιστικο προβληματα'!$B$114:$E$114</c:f>
              <c:strCache>
                <c:ptCount val="4"/>
                <c:pt idx="0">
                  <c:v>Το υφιστάμενο πλαίσιο ρύθμισης ληξιπρόθεσμων οφειλών</c:v>
                </c:pt>
                <c:pt idx="1">
                  <c:v>Τη μη διασύνδεση των καταβληθέντων εισφορών με τα δηλωθέντα εισοδήματα</c:v>
                </c:pt>
                <c:pt idx="2">
                  <c:v>Το ύψος των ασφαλιστικών εισφορών</c:v>
                </c:pt>
                <c:pt idx="3">
                  <c:v>Το βαθμό ανταποδοτικότητας εισφορών - παροχών</c:v>
                </c:pt>
              </c:strCache>
            </c:strRef>
          </c:cat>
          <c:val>
            <c:numRef>
              <c:f>'ασφαλιστικο προβληματα'!$B$115:$E$115</c:f>
              <c:numCache>
                <c:formatCode>####.0</c:formatCode>
                <c:ptCount val="4"/>
                <c:pt idx="0">
                  <c:v>6.1102661596958168</c:v>
                </c:pt>
                <c:pt idx="1">
                  <c:v>8.1300309597523235</c:v>
                </c:pt>
                <c:pt idx="2">
                  <c:v>8.8298507462686526</c:v>
                </c:pt>
                <c:pt idx="3">
                  <c:v>9.0630630630630691</c:v>
                </c:pt>
              </c:numCache>
            </c:numRef>
          </c:val>
        </c:ser>
        <c:ser>
          <c:idx val="1"/>
          <c:order val="1"/>
          <c:tx>
            <c:strRef>
              <c:f>'ασφαλιστικο προβληματα'!$A$116</c:f>
              <c:strCache>
                <c:ptCount val="1"/>
                <c:pt idx="0">
                  <c:v>Χωρίς υπαλλήλους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el-GR"/>
              </a:p>
            </c:txPr>
            <c:showVal val="1"/>
          </c:dLbls>
          <c:cat>
            <c:strRef>
              <c:f>'ασφαλιστικο προβληματα'!$B$114:$E$114</c:f>
              <c:strCache>
                <c:ptCount val="4"/>
                <c:pt idx="0">
                  <c:v>Το υφιστάμενο πλαίσιο ρύθμισης ληξιπρόθεσμων οφειλών</c:v>
                </c:pt>
                <c:pt idx="1">
                  <c:v>Τη μη διασύνδεση των καταβληθέντων εισφορών με τα δηλωθέντα εισοδήματα</c:v>
                </c:pt>
                <c:pt idx="2">
                  <c:v>Το ύψος των ασφαλιστικών εισφορών</c:v>
                </c:pt>
                <c:pt idx="3">
                  <c:v>Το βαθμό ανταποδοτικότητας εισφορών - παροχών</c:v>
                </c:pt>
              </c:strCache>
            </c:strRef>
          </c:cat>
          <c:val>
            <c:numRef>
              <c:f>'ασφαλιστικο προβληματα'!$B$116:$E$116</c:f>
              <c:numCache>
                <c:formatCode>####.0</c:formatCode>
                <c:ptCount val="4"/>
                <c:pt idx="0">
                  <c:v>6.7526881720430154</c:v>
                </c:pt>
                <c:pt idx="1">
                  <c:v>8.4622356495468267</c:v>
                </c:pt>
                <c:pt idx="2">
                  <c:v>9.1238938053097343</c:v>
                </c:pt>
                <c:pt idx="3">
                  <c:v>8.9970238095238084</c:v>
                </c:pt>
              </c:numCache>
            </c:numRef>
          </c:val>
        </c:ser>
        <c:shape val="cylinder"/>
        <c:axId val="83215104"/>
        <c:axId val="83216640"/>
        <c:axId val="0"/>
      </c:bar3DChart>
      <c:catAx>
        <c:axId val="83215104"/>
        <c:scaling>
          <c:orientation val="minMax"/>
        </c:scaling>
        <c:axPos val="l"/>
        <c:tickLblPos val="nextTo"/>
        <c:crossAx val="83216640"/>
        <c:crosses val="autoZero"/>
        <c:auto val="1"/>
        <c:lblAlgn val="ctr"/>
        <c:lblOffset val="100"/>
      </c:catAx>
      <c:valAx>
        <c:axId val="83216640"/>
        <c:scaling>
          <c:orientation val="minMax"/>
        </c:scaling>
        <c:axPos val="b"/>
        <c:majorGridlines/>
        <c:numFmt formatCode="#,##0" sourceLinked="0"/>
        <c:tickLblPos val="nextTo"/>
        <c:crossAx val="83215104"/>
        <c:crosses val="autoZero"/>
        <c:crossBetween val="between"/>
      </c:valAx>
    </c:plotArea>
    <c:legend>
      <c:legendPos val="b"/>
    </c:legend>
    <c:plotVisOnly val="1"/>
  </c:chart>
  <c:spPr>
    <a:gradFill>
      <a:gsLst>
        <a:gs pos="0">
          <a:srgbClr val="4F81BD">
            <a:tint val="66000"/>
            <a:satMod val="16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ln w="25400" cmpd="thickThin"/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l-GR"/>
  <c:roundedCorners val="1"/>
  <c:chart>
    <c:title>
      <c:tx>
        <c:rich>
          <a:bodyPr/>
          <a:lstStyle/>
          <a:p>
            <a:pPr>
              <a:defRPr/>
            </a:pPr>
            <a:r>
              <a:rPr lang="el-GR" sz="1350" b="1" i="0" baseline="0"/>
              <a:t>Διάγραμμα 5: </a:t>
            </a:r>
            <a:r>
              <a:rPr lang="el-GR" sz="1200" b="1" i="0" baseline="0"/>
              <a:t>Βαθμός σπουδαιότητας προβλημάτων</a:t>
            </a:r>
            <a:r>
              <a:rPr lang="en-GB" sz="1200" b="1" i="0" baseline="0"/>
              <a:t> </a:t>
            </a:r>
            <a:r>
              <a:rPr lang="el-GR" sz="1200" b="1" i="0" baseline="0"/>
              <a:t>που αντιμετωπίζουν σήμερα οι ασφαλισμένοι του ΟΑΕΕ με βάση τα έτη λειτουργίας</a:t>
            </a:r>
            <a:endParaRPr lang="en-GB" sz="1200" b="1" i="0" baseline="0"/>
          </a:p>
        </c:rich>
      </c:tx>
      <c:layout>
        <c:manualLayout>
          <c:xMode val="edge"/>
          <c:yMode val="edge"/>
          <c:x val="9.6615991974865728E-2"/>
          <c:y val="3.1315023144584876E-2"/>
        </c:manualLayout>
      </c:layout>
    </c:title>
    <c:plotArea>
      <c:layout/>
      <c:lineChart>
        <c:grouping val="standard"/>
        <c:ser>
          <c:idx val="0"/>
          <c:order val="0"/>
          <c:tx>
            <c:strRef>
              <c:f>'ασφαλιστικο προβληματα'!$B$148</c:f>
              <c:strCache>
                <c:ptCount val="1"/>
                <c:pt idx="0">
                  <c:v>Το υφιστάμενο πλαίσιο ρύθμισης ληξιπρόθεσμων οφειλών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el-GR"/>
              </a:p>
            </c:txPr>
            <c:dLblPos val="b"/>
            <c:showVal val="1"/>
          </c:dLbls>
          <c:cat>
            <c:strRef>
              <c:f>'ασφαλιστικο προβληματα'!$A$149:$A$153</c:f>
              <c:strCache>
                <c:ptCount val="5"/>
                <c:pt idx="0">
                  <c:v>1 - 5 έτη</c:v>
                </c:pt>
                <c:pt idx="1">
                  <c:v>6 - 15 έτη</c:v>
                </c:pt>
                <c:pt idx="2">
                  <c:v>16 - 30 έτη</c:v>
                </c:pt>
                <c:pt idx="3">
                  <c:v>31 - 50 έτη</c:v>
                </c:pt>
                <c:pt idx="4">
                  <c:v>Πάνω από 50 έτη</c:v>
                </c:pt>
              </c:strCache>
            </c:strRef>
          </c:cat>
          <c:val>
            <c:numRef>
              <c:f>'ασφαλιστικο προβληματα'!$B$149:$B$153</c:f>
              <c:numCache>
                <c:formatCode>####.0</c:formatCode>
                <c:ptCount val="5"/>
                <c:pt idx="0">
                  <c:v>6.4871794871794881</c:v>
                </c:pt>
                <c:pt idx="1">
                  <c:v>6.4453125</c:v>
                </c:pt>
                <c:pt idx="2">
                  <c:v>6.4717948717948817</c:v>
                </c:pt>
                <c:pt idx="3">
                  <c:v>6.2946428571428568</c:v>
                </c:pt>
                <c:pt idx="4">
                  <c:v>6.578947368421054</c:v>
                </c:pt>
              </c:numCache>
            </c:numRef>
          </c:val>
        </c:ser>
        <c:ser>
          <c:idx val="1"/>
          <c:order val="1"/>
          <c:tx>
            <c:strRef>
              <c:f>'ασφαλιστικο προβληματα'!$C$148</c:f>
              <c:strCache>
                <c:ptCount val="1"/>
                <c:pt idx="0">
                  <c:v>Τη μη διασύνδεση των καταβληθέντων εισφορών με τα δηλωθέντα εισοδήματα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el-GR"/>
              </a:p>
            </c:txPr>
            <c:dLblPos val="b"/>
            <c:showVal val="1"/>
          </c:dLbls>
          <c:cat>
            <c:strRef>
              <c:f>'ασφαλιστικο προβληματα'!$A$149:$A$153</c:f>
              <c:strCache>
                <c:ptCount val="5"/>
                <c:pt idx="0">
                  <c:v>1 - 5 έτη</c:v>
                </c:pt>
                <c:pt idx="1">
                  <c:v>6 - 15 έτη</c:v>
                </c:pt>
                <c:pt idx="2">
                  <c:v>16 - 30 έτη</c:v>
                </c:pt>
                <c:pt idx="3">
                  <c:v>31 - 50 έτη</c:v>
                </c:pt>
                <c:pt idx="4">
                  <c:v>Πάνω από 50 έτη</c:v>
                </c:pt>
              </c:strCache>
            </c:strRef>
          </c:cat>
          <c:val>
            <c:numRef>
              <c:f>'ασφαλιστικο προβληματα'!$C$149:$C$153</c:f>
              <c:numCache>
                <c:formatCode>####.0</c:formatCode>
                <c:ptCount val="5"/>
                <c:pt idx="0">
                  <c:v>7.7555555555555431</c:v>
                </c:pt>
                <c:pt idx="1">
                  <c:v>8.2437500000000004</c:v>
                </c:pt>
                <c:pt idx="2">
                  <c:v>8.3060344827586459</c:v>
                </c:pt>
                <c:pt idx="3">
                  <c:v>8.5187969924811995</c:v>
                </c:pt>
                <c:pt idx="4">
                  <c:v>8.4901960784313726</c:v>
                </c:pt>
              </c:numCache>
            </c:numRef>
          </c:val>
        </c:ser>
        <c:ser>
          <c:idx val="2"/>
          <c:order val="2"/>
          <c:tx>
            <c:strRef>
              <c:f>'ασφαλιστικο προβληματα'!$D$148</c:f>
              <c:strCache>
                <c:ptCount val="1"/>
                <c:pt idx="0">
                  <c:v>Το ύψος των ασφαλιστικών εισφορών</c:v>
                </c:pt>
              </c:strCache>
            </c:strRef>
          </c:tx>
          <c:dLbls>
            <c:dLbl>
              <c:idx val="0"/>
              <c:layout>
                <c:manualLayout>
                  <c:x val="-4.3630067074948972E-2"/>
                  <c:y val="-5.3415358369493855E-2"/>
                </c:manualLayout>
              </c:layout>
              <c:showVal val="1"/>
            </c:dLbl>
            <c:dLbl>
              <c:idx val="1"/>
              <c:layout>
                <c:manualLayout>
                  <c:x val="-1.7454068241469849E-3"/>
                  <c:y val="-4.4156200827789524E-2"/>
                </c:manualLayout>
              </c:layout>
              <c:showVal val="1"/>
            </c:dLbl>
            <c:dLbl>
              <c:idx val="2"/>
              <c:layout>
                <c:manualLayout>
                  <c:x val="-5.2356020942408051E-3"/>
                  <c:y val="1.5432098765432138E-2"/>
                </c:manualLayout>
              </c:layout>
              <c:showVal val="1"/>
            </c:dLbl>
            <c:dLbl>
              <c:idx val="3"/>
              <c:layout>
                <c:manualLayout>
                  <c:x val="1.559765966754156E-2"/>
                  <c:y val="3.4931938390754091E-2"/>
                </c:manualLayout>
              </c:layout>
              <c:showVal val="1"/>
            </c:dLbl>
            <c:dLbl>
              <c:idx val="4"/>
              <c:layout>
                <c:manualLayout>
                  <c:x val="3.4539953339165989E-3"/>
                  <c:y val="2.8652758167231548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el-GR"/>
              </a:p>
            </c:txPr>
            <c:showVal val="1"/>
          </c:dLbls>
          <c:cat>
            <c:strRef>
              <c:f>'ασφαλιστικο προβληματα'!$A$149:$A$153</c:f>
              <c:strCache>
                <c:ptCount val="5"/>
                <c:pt idx="0">
                  <c:v>1 - 5 έτη</c:v>
                </c:pt>
                <c:pt idx="1">
                  <c:v>6 - 15 έτη</c:v>
                </c:pt>
                <c:pt idx="2">
                  <c:v>16 - 30 έτη</c:v>
                </c:pt>
                <c:pt idx="3">
                  <c:v>31 - 50 έτη</c:v>
                </c:pt>
                <c:pt idx="4">
                  <c:v>Πάνω από 50 έτη</c:v>
                </c:pt>
              </c:strCache>
            </c:strRef>
          </c:cat>
          <c:val>
            <c:numRef>
              <c:f>'ασφαλιστικο προβληματα'!$D$149:$D$153</c:f>
              <c:numCache>
                <c:formatCode>####.0</c:formatCode>
                <c:ptCount val="5"/>
                <c:pt idx="0">
                  <c:v>8.4893617021276615</c:v>
                </c:pt>
                <c:pt idx="1">
                  <c:v>8.9575757575757606</c:v>
                </c:pt>
                <c:pt idx="2">
                  <c:v>9.0292887029288682</c:v>
                </c:pt>
                <c:pt idx="3">
                  <c:v>9.0000000000000018</c:v>
                </c:pt>
                <c:pt idx="4">
                  <c:v>9.1960784313725199</c:v>
                </c:pt>
              </c:numCache>
            </c:numRef>
          </c:val>
        </c:ser>
        <c:ser>
          <c:idx val="3"/>
          <c:order val="3"/>
          <c:tx>
            <c:strRef>
              <c:f>'ασφαλιστικο προβληματα'!$E$148</c:f>
              <c:strCache>
                <c:ptCount val="1"/>
                <c:pt idx="0">
                  <c:v>Το βαθμό ανταποδοτικότητας εισφορών - παροχών</c:v>
                </c:pt>
              </c:strCache>
            </c:strRef>
          </c:tx>
          <c:dLbls>
            <c:dLbl>
              <c:idx val="0"/>
              <c:layout>
                <c:manualLayout>
                  <c:x val="-4.1884816753926704E-2"/>
                  <c:y val="1.2345679012345713E-2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1.5432098765432138E-2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-4.6225351293542043E-2"/>
                </c:manualLayout>
              </c:layout>
              <c:showVal val="1"/>
            </c:dLbl>
            <c:dLbl>
              <c:idx val="3"/>
              <c:layout>
                <c:manualLayout>
                  <c:x val="-5.2356736657917955E-3"/>
                  <c:y val="-4.2121945466705772E-2"/>
                </c:manualLayout>
              </c:layout>
              <c:showVal val="1"/>
            </c:dLbl>
            <c:dLbl>
              <c:idx val="4"/>
              <c:layout>
                <c:manualLayout>
                  <c:x val="-3.4904491105278508E-3"/>
                  <c:y val="-6.7723966797954116E-2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el-GR"/>
              </a:p>
            </c:txPr>
            <c:showVal val="1"/>
          </c:dLbls>
          <c:cat>
            <c:strRef>
              <c:f>'ασφαλιστικο προβληματα'!$A$149:$A$153</c:f>
              <c:strCache>
                <c:ptCount val="5"/>
                <c:pt idx="0">
                  <c:v>1 - 5 έτη</c:v>
                </c:pt>
                <c:pt idx="1">
                  <c:v>6 - 15 έτη</c:v>
                </c:pt>
                <c:pt idx="2">
                  <c:v>16 - 30 έτη</c:v>
                </c:pt>
                <c:pt idx="3">
                  <c:v>31 - 50 έτη</c:v>
                </c:pt>
                <c:pt idx="4">
                  <c:v>Πάνω από 50 έτη</c:v>
                </c:pt>
              </c:strCache>
            </c:strRef>
          </c:cat>
          <c:val>
            <c:numRef>
              <c:f>'ασφαλιστικο προβληματα'!$E$149:$E$153</c:f>
              <c:numCache>
                <c:formatCode>####.0</c:formatCode>
                <c:ptCount val="5"/>
                <c:pt idx="0">
                  <c:v>8.4347826086956541</c:v>
                </c:pt>
                <c:pt idx="1">
                  <c:v>8.8373493975903603</c:v>
                </c:pt>
                <c:pt idx="2">
                  <c:v>9.172268907563021</c:v>
                </c:pt>
                <c:pt idx="3">
                  <c:v>9.0888888888888886</c:v>
                </c:pt>
                <c:pt idx="4">
                  <c:v>9.120000000000001</c:v>
                </c:pt>
              </c:numCache>
            </c:numRef>
          </c:val>
        </c:ser>
        <c:marker val="1"/>
        <c:axId val="83294080"/>
        <c:axId val="83295616"/>
      </c:lineChart>
      <c:catAx>
        <c:axId val="83294080"/>
        <c:scaling>
          <c:orientation val="minMax"/>
        </c:scaling>
        <c:axPos val="b"/>
        <c:tickLblPos val="nextTo"/>
        <c:crossAx val="83295616"/>
        <c:crosses val="autoZero"/>
        <c:auto val="1"/>
        <c:lblAlgn val="ctr"/>
        <c:lblOffset val="100"/>
      </c:catAx>
      <c:valAx>
        <c:axId val="83295616"/>
        <c:scaling>
          <c:orientation val="minMax"/>
          <c:max val="10"/>
          <c:min val="5"/>
        </c:scaling>
        <c:axPos val="l"/>
        <c:majorGridlines/>
        <c:numFmt formatCode="#,##0.0" sourceLinked="0"/>
        <c:tickLblPos val="nextTo"/>
        <c:crossAx val="83294080"/>
        <c:crosses val="autoZero"/>
        <c:crossBetween val="between"/>
      </c:valAx>
    </c:plotArea>
    <c:legend>
      <c:legendPos val="b"/>
    </c:legend>
    <c:plotVisOnly val="1"/>
  </c:chart>
  <c:spPr>
    <a:gradFill>
      <a:gsLst>
        <a:gs pos="0">
          <a:srgbClr val="4F81BD">
            <a:tint val="66000"/>
            <a:satMod val="160000"/>
          </a:srgbClr>
        </a:gs>
        <a:gs pos="50000">
          <a:srgbClr val="4F81BD">
            <a:tint val="44500"/>
            <a:satMod val="160000"/>
          </a:srgbClr>
        </a:gs>
        <a:gs pos="100000">
          <a:srgbClr val="4F81BD">
            <a:tint val="23500"/>
            <a:satMod val="160000"/>
          </a:srgbClr>
        </a:gs>
      </a:gsLst>
      <a:lin ang="5400000" scaled="0"/>
    </a:gradFill>
    <a:ln w="25400" cmpd="thickThin"/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l-GR"/>
  <c:roundedCorners val="1"/>
  <c:chart>
    <c:title>
      <c:tx>
        <c:rich>
          <a:bodyPr/>
          <a:lstStyle/>
          <a:p>
            <a:pPr>
              <a:defRPr/>
            </a:pPr>
            <a:r>
              <a:rPr lang="el-GR" sz="1350"/>
              <a:t>Διάγραμμα 6: </a:t>
            </a:r>
            <a:r>
              <a:rPr lang="el-GR" sz="1200"/>
              <a:t>Ασφαλιστικά ζητήματα που πρέπει να δώσει προτεραιότητα </a:t>
            </a:r>
            <a:r>
              <a:rPr lang="el-GR" sz="1200" b="1" i="0" u="none" strike="noStrike" baseline="0"/>
              <a:t>η ΕΣΕΕ </a:t>
            </a:r>
            <a:endParaRPr lang="el-GR" sz="1200"/>
          </a:p>
        </c:rich>
      </c:tx>
    </c:title>
    <c:view3D>
      <c:rotX val="0"/>
      <c:rotY val="0"/>
      <c:perspective val="30"/>
    </c:view3D>
    <c:plotArea>
      <c:layout/>
      <c:bar3DChart>
        <c:barDir val="bar"/>
        <c:grouping val="clustered"/>
        <c:ser>
          <c:idx val="0"/>
          <c:order val="0"/>
          <c:dLbls>
            <c:txPr>
              <a:bodyPr/>
              <a:lstStyle/>
              <a:p>
                <a:pPr>
                  <a:defRPr b="1"/>
                </a:pPr>
                <a:endParaRPr lang="el-GR"/>
              </a:p>
            </c:txPr>
            <c:showVal val="1"/>
          </c:dLbls>
          <c:cat>
            <c:strRef>
              <c:f>'ασφαλιστικο προτεραιοτητα'!$A$2:$A$6</c:f>
              <c:strCache>
                <c:ptCount val="5"/>
                <c:pt idx="0">
                  <c:v>Προστασία των νεοεισερχόμενων και των νέων  (άσκηση δραστηριότητας έως 5 έτη) στον κλάδο επιτηδευματιών</c:v>
                </c:pt>
                <c:pt idx="1">
                  <c:v>Πάγωμα, κεφαλαιοποίηση ληξιπρόθεσμων οφειλών (και για ποσά άνω των 20.000) με δυνατότητα αποποίησης ασφαλιστικού χρόνου</c:v>
                </c:pt>
                <c:pt idx="2">
                  <c:v>Προστασία της εντός κρίσης χρεωμένης επιχείρησης</c:v>
                </c:pt>
                <c:pt idx="3">
                  <c:v>Διασύνδεση των εισφορών με τα πραγματοποιηθέντα εισοδήματα</c:v>
                </c:pt>
                <c:pt idx="4">
                  <c:v>Ανταποδοτικότητα εισφορών/παροχών</c:v>
                </c:pt>
              </c:strCache>
            </c:strRef>
          </c:cat>
          <c:val>
            <c:numRef>
              <c:f>'ασφαλιστικο προτεραιοτητα'!$B$2:$B$6</c:f>
              <c:numCache>
                <c:formatCode>0</c:formatCode>
                <c:ptCount val="5"/>
                <c:pt idx="0">
                  <c:v>21.020092735703191</c:v>
                </c:pt>
                <c:pt idx="1">
                  <c:v>23.029366306027789</c:v>
                </c:pt>
                <c:pt idx="2">
                  <c:v>23.338485316846995</c:v>
                </c:pt>
                <c:pt idx="3">
                  <c:v>52.086553323029413</c:v>
                </c:pt>
                <c:pt idx="4">
                  <c:v>69.088098918083205</c:v>
                </c:pt>
              </c:numCache>
            </c:numRef>
          </c:val>
        </c:ser>
        <c:shape val="cylinder"/>
        <c:axId val="83341312"/>
        <c:axId val="83342848"/>
        <c:axId val="0"/>
      </c:bar3DChart>
      <c:catAx>
        <c:axId val="83341312"/>
        <c:scaling>
          <c:orientation val="minMax"/>
        </c:scaling>
        <c:axPos val="l"/>
        <c:tickLblPos val="nextTo"/>
        <c:crossAx val="83342848"/>
        <c:crosses val="autoZero"/>
        <c:auto val="1"/>
        <c:lblAlgn val="ctr"/>
        <c:lblOffset val="100"/>
      </c:catAx>
      <c:valAx>
        <c:axId val="83342848"/>
        <c:scaling>
          <c:orientation val="minMax"/>
        </c:scaling>
        <c:axPos val="b"/>
        <c:majorGridlines/>
        <c:numFmt formatCode="#,##0" sourceLinked="0"/>
        <c:tickLblPos val="nextTo"/>
        <c:crossAx val="83341312"/>
        <c:crosses val="autoZero"/>
        <c:crossBetween val="between"/>
      </c:valAx>
    </c:plotArea>
    <c:plotVisOnly val="1"/>
  </c:chart>
  <c:spPr>
    <a:gradFill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5400000" scaled="0"/>
    </a:gradFill>
    <a:ln w="25400" cmpd="thickThin"/>
  </c:spPr>
  <c:externalData r:id="rId1"/>
</c:chartSpace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5</Pages>
  <Words>664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nikgeo</dc:creator>
  <cp:lastModifiedBy>mfondrie</cp:lastModifiedBy>
  <cp:revision>33</cp:revision>
  <dcterms:created xsi:type="dcterms:W3CDTF">2016-04-19T14:03:00Z</dcterms:created>
  <dcterms:modified xsi:type="dcterms:W3CDTF">2016-04-25T11:55:00Z</dcterms:modified>
</cp:coreProperties>
</file>