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6" w:type="dxa"/>
        <w:jc w:val="center"/>
        <w:tblInd w:w="-370" w:type="dxa"/>
        <w:tblBorders>
          <w:insideH w:val="single" w:sz="4" w:space="0" w:color="FF6600"/>
        </w:tblBorders>
        <w:tblLayout w:type="fixed"/>
        <w:tblLook w:val="01E0"/>
      </w:tblPr>
      <w:tblGrid>
        <w:gridCol w:w="2444"/>
        <w:gridCol w:w="7582"/>
      </w:tblGrid>
      <w:tr w:rsidR="00F465E9" w:rsidRPr="00F465E9" w:rsidTr="00751238">
        <w:trPr>
          <w:cantSplit/>
          <w:trHeight w:val="893"/>
          <w:jc w:val="center"/>
        </w:trPr>
        <w:tc>
          <w:tcPr>
            <w:tcW w:w="2444" w:type="dxa"/>
            <w:vMerge w:val="restart"/>
            <w:vAlign w:val="center"/>
          </w:tcPr>
          <w:p w:rsidR="00F465E9" w:rsidRPr="00F465E9" w:rsidRDefault="00F465E9" w:rsidP="00F465E9">
            <w:pPr>
              <w:spacing w:after="0" w:line="240" w:lineRule="auto"/>
              <w:jc w:val="center"/>
              <w:rPr>
                <w:rFonts w:ascii="Times New Roman" w:eastAsia="Times New Roman" w:hAnsi="Times New Roman" w:cs="Times New Roman"/>
                <w:sz w:val="24"/>
                <w:szCs w:val="24"/>
                <w:lang w:val="en-US" w:eastAsia="el-GR"/>
              </w:rPr>
            </w:pPr>
            <w:r w:rsidRPr="00F465E9">
              <w:rPr>
                <w:rFonts w:ascii="Times New Roman" w:eastAsia="Times New Roman" w:hAnsi="Times New Roman" w:cs="Times New Roman"/>
                <w:noProof/>
                <w:sz w:val="24"/>
                <w:szCs w:val="24"/>
                <w:lang w:eastAsia="el-GR"/>
              </w:rPr>
              <w:drawing>
                <wp:anchor distT="0" distB="0" distL="114300" distR="114300" simplePos="0" relativeHeight="251659264" behindDoc="1" locked="0" layoutInCell="1" allowOverlap="1">
                  <wp:simplePos x="0" y="0"/>
                  <wp:positionH relativeFrom="column">
                    <wp:posOffset>20320</wp:posOffset>
                  </wp:positionH>
                  <wp:positionV relativeFrom="paragraph">
                    <wp:posOffset>-100330</wp:posOffset>
                  </wp:positionV>
                  <wp:extent cx="1252855" cy="1011555"/>
                  <wp:effectExtent l="19050" t="0" r="4445" b="0"/>
                  <wp:wrapNone/>
                  <wp:docPr id="1" name="Εικόνα 10" descr="imelogofinal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imelogofinal5"/>
                          <pic:cNvPicPr>
                            <a:picLocks noChangeAspect="1" noChangeArrowheads="1"/>
                          </pic:cNvPicPr>
                        </pic:nvPicPr>
                        <pic:blipFill>
                          <a:blip r:embed="rId8" cstate="print"/>
                          <a:srcRect/>
                          <a:stretch>
                            <a:fillRect/>
                          </a:stretch>
                        </pic:blipFill>
                        <pic:spPr bwMode="auto">
                          <a:xfrm>
                            <a:off x="0" y="0"/>
                            <a:ext cx="1252855" cy="1011555"/>
                          </a:xfrm>
                          <a:prstGeom prst="rect">
                            <a:avLst/>
                          </a:prstGeom>
                          <a:noFill/>
                        </pic:spPr>
                      </pic:pic>
                    </a:graphicData>
                  </a:graphic>
                </wp:anchor>
              </w:drawing>
            </w:r>
          </w:p>
        </w:tc>
        <w:tc>
          <w:tcPr>
            <w:tcW w:w="7582" w:type="dxa"/>
            <w:vAlign w:val="center"/>
          </w:tcPr>
          <w:p w:rsidR="00F465E9" w:rsidRPr="00F465E9" w:rsidRDefault="00F465E9" w:rsidP="00F465E9">
            <w:pPr>
              <w:autoSpaceDE w:val="0"/>
              <w:autoSpaceDN w:val="0"/>
              <w:adjustRightInd w:val="0"/>
              <w:spacing w:after="0" w:line="240" w:lineRule="auto"/>
              <w:jc w:val="center"/>
              <w:rPr>
                <w:rFonts w:ascii="Trebuchet MS" w:eastAsia="Times New Roman" w:hAnsi="Trebuchet MS" w:cs="Trebuchet MS"/>
                <w:b/>
                <w:bCs/>
                <w:color w:val="626262"/>
                <w:spacing w:val="20"/>
                <w:sz w:val="30"/>
                <w:szCs w:val="30"/>
                <w:lang w:eastAsia="el-GR"/>
              </w:rPr>
            </w:pPr>
            <w:r w:rsidRPr="00F465E9">
              <w:rPr>
                <w:rFonts w:ascii="Trebuchet MS" w:eastAsia="Times New Roman" w:hAnsi="Trebuchet MS" w:cs="Trebuchet MS"/>
                <w:b/>
                <w:bCs/>
                <w:color w:val="626262"/>
                <w:spacing w:val="20"/>
                <w:sz w:val="40"/>
                <w:szCs w:val="40"/>
                <w:lang w:eastAsia="el-GR"/>
              </w:rPr>
              <w:t xml:space="preserve">ΙΝΣΤΙΤΟΥΤΟ ΜΙΚΡΩΝ ΕΠΙΧΕΙΡΗΣΕΩΝ        </w:t>
            </w:r>
          </w:p>
          <w:p w:rsidR="00F465E9" w:rsidRPr="00F465E9" w:rsidRDefault="00F465E9" w:rsidP="00F465E9">
            <w:pPr>
              <w:autoSpaceDE w:val="0"/>
              <w:autoSpaceDN w:val="0"/>
              <w:adjustRightInd w:val="0"/>
              <w:spacing w:after="0" w:line="240" w:lineRule="auto"/>
              <w:jc w:val="center"/>
              <w:rPr>
                <w:rFonts w:ascii="Trebuchet MS" w:eastAsia="Times New Roman" w:hAnsi="Trebuchet MS" w:cs="Trebuchet MS"/>
                <w:b/>
                <w:bCs/>
                <w:color w:val="626262"/>
                <w:spacing w:val="20"/>
                <w:sz w:val="24"/>
                <w:szCs w:val="24"/>
                <w:lang w:eastAsia="el-GR"/>
              </w:rPr>
            </w:pPr>
            <w:r w:rsidRPr="00F465E9">
              <w:rPr>
                <w:rFonts w:ascii="Trebuchet MS" w:eastAsia="Times New Roman" w:hAnsi="Trebuchet MS" w:cs="Trebuchet MS"/>
                <w:b/>
                <w:bCs/>
                <w:color w:val="626262"/>
                <w:spacing w:val="20"/>
                <w:sz w:val="24"/>
                <w:szCs w:val="24"/>
                <w:lang w:eastAsia="el-GR"/>
              </w:rPr>
              <w:t xml:space="preserve">ΓΕΝΙΚΗ ΣΥΝΟΜΟΣΠΟΝΔΙΑ  ΕΠΑΓΓΕΛΜΑΤΙΩΝ  ΒΙΟΤΕΧΝΩΝ ΕΜΠΟΡΩΝ  ΕΛΛΑΔΑΣ </w:t>
            </w:r>
          </w:p>
        </w:tc>
      </w:tr>
      <w:tr w:rsidR="00F465E9" w:rsidRPr="00F465E9" w:rsidTr="00751238">
        <w:trPr>
          <w:cantSplit/>
          <w:trHeight w:val="70"/>
          <w:jc w:val="center"/>
        </w:trPr>
        <w:tc>
          <w:tcPr>
            <w:tcW w:w="2444" w:type="dxa"/>
            <w:vMerge/>
          </w:tcPr>
          <w:p w:rsidR="00F465E9" w:rsidRPr="00F465E9" w:rsidRDefault="00F465E9" w:rsidP="00F465E9">
            <w:pPr>
              <w:spacing w:after="0" w:line="240" w:lineRule="auto"/>
              <w:rPr>
                <w:rFonts w:ascii="Times New Roman" w:eastAsia="Times New Roman" w:hAnsi="Times New Roman" w:cs="Times New Roman"/>
                <w:sz w:val="24"/>
                <w:szCs w:val="24"/>
                <w:lang w:eastAsia="el-GR"/>
              </w:rPr>
            </w:pPr>
          </w:p>
        </w:tc>
        <w:tc>
          <w:tcPr>
            <w:tcW w:w="7582" w:type="dxa"/>
            <w:vAlign w:val="center"/>
          </w:tcPr>
          <w:p w:rsidR="00F465E9" w:rsidRPr="00F465E9" w:rsidRDefault="00F465E9" w:rsidP="00F465E9">
            <w:pPr>
              <w:autoSpaceDE w:val="0"/>
              <w:autoSpaceDN w:val="0"/>
              <w:adjustRightInd w:val="0"/>
              <w:spacing w:after="0" w:line="240" w:lineRule="auto"/>
              <w:jc w:val="center"/>
              <w:rPr>
                <w:rFonts w:ascii="Century Gothic" w:eastAsia="Times New Roman" w:hAnsi="Century Gothic" w:cs="Trebuchet MS"/>
                <w:b/>
                <w:bCs/>
                <w:color w:val="626262"/>
                <w:sz w:val="24"/>
                <w:szCs w:val="24"/>
                <w:lang w:eastAsia="el-GR"/>
              </w:rPr>
            </w:pPr>
            <w:r w:rsidRPr="00F465E9">
              <w:rPr>
                <w:rFonts w:ascii="Century Gothic" w:eastAsia="Times New Roman" w:hAnsi="Century Gothic" w:cs="Trebuchet MS"/>
                <w:b/>
                <w:bCs/>
                <w:color w:val="626262"/>
                <w:lang w:eastAsia="el-GR"/>
              </w:rPr>
              <w:t xml:space="preserve">Αριστοτέλους 46, 104 33 Αθήνα, </w:t>
            </w:r>
            <w:proofErr w:type="spellStart"/>
            <w:r w:rsidRPr="00F465E9">
              <w:rPr>
                <w:rFonts w:ascii="Century Gothic" w:eastAsia="Times New Roman" w:hAnsi="Century Gothic" w:cs="Trebuchet MS"/>
                <w:b/>
                <w:bCs/>
                <w:color w:val="626262"/>
                <w:lang w:eastAsia="el-GR"/>
              </w:rPr>
              <w:t>Τηλ</w:t>
            </w:r>
            <w:proofErr w:type="spellEnd"/>
            <w:r w:rsidRPr="00F465E9">
              <w:rPr>
                <w:rFonts w:ascii="Century Gothic" w:eastAsia="Times New Roman" w:hAnsi="Century Gothic" w:cs="Trebuchet MS"/>
                <w:b/>
                <w:bCs/>
                <w:color w:val="626262"/>
                <w:lang w:eastAsia="el-GR"/>
              </w:rPr>
              <w:t xml:space="preserve">. 210 8846852, </w:t>
            </w:r>
            <w:proofErr w:type="spellStart"/>
            <w:r w:rsidRPr="00F465E9">
              <w:rPr>
                <w:rFonts w:ascii="Century Gothic" w:eastAsia="Times New Roman" w:hAnsi="Century Gothic" w:cs="Trebuchet MS"/>
                <w:b/>
                <w:bCs/>
                <w:color w:val="626262"/>
                <w:lang w:eastAsia="el-GR"/>
              </w:rPr>
              <w:t>Fax</w:t>
            </w:r>
            <w:proofErr w:type="spellEnd"/>
            <w:r w:rsidRPr="00F465E9">
              <w:rPr>
                <w:rFonts w:ascii="Century Gothic" w:eastAsia="Times New Roman" w:hAnsi="Century Gothic" w:cs="Trebuchet MS"/>
                <w:b/>
                <w:bCs/>
                <w:color w:val="626262"/>
                <w:lang w:eastAsia="el-GR"/>
              </w:rPr>
              <w:t>. 210 8846853</w:t>
            </w:r>
          </w:p>
          <w:p w:rsidR="00F465E9" w:rsidRPr="00F465E9" w:rsidRDefault="00394F5B" w:rsidP="00F465E9">
            <w:pPr>
              <w:autoSpaceDE w:val="0"/>
              <w:autoSpaceDN w:val="0"/>
              <w:adjustRightInd w:val="0"/>
              <w:spacing w:after="0" w:line="240" w:lineRule="auto"/>
              <w:jc w:val="center"/>
              <w:rPr>
                <w:rFonts w:ascii="Trebuchet MS" w:eastAsia="Times New Roman" w:hAnsi="Trebuchet MS" w:cs="Trebuchet MS"/>
                <w:b/>
                <w:bCs/>
                <w:color w:val="626262"/>
                <w:sz w:val="24"/>
                <w:szCs w:val="24"/>
                <w:lang w:eastAsia="el-GR"/>
              </w:rPr>
            </w:pPr>
            <w:hyperlink r:id="rId9" w:history="1">
              <w:r w:rsidR="00F465E9" w:rsidRPr="00F465E9">
                <w:rPr>
                  <w:rFonts w:ascii="Century Gothic" w:eastAsia="Times New Roman" w:hAnsi="Century Gothic" w:cs="Trebuchet MS"/>
                  <w:b/>
                  <w:bCs/>
                  <w:color w:val="626262"/>
                  <w:lang w:eastAsia="el-GR"/>
                </w:rPr>
                <w:t>www.imegsevee.gr</w:t>
              </w:r>
            </w:hyperlink>
            <w:r w:rsidR="00F465E9" w:rsidRPr="00F465E9">
              <w:rPr>
                <w:rFonts w:ascii="Century Gothic" w:eastAsia="Times New Roman" w:hAnsi="Century Gothic" w:cs="Trebuchet MS"/>
                <w:b/>
                <w:bCs/>
                <w:color w:val="626262"/>
                <w:lang w:eastAsia="el-GR"/>
              </w:rPr>
              <w:t xml:space="preserve">, </w:t>
            </w:r>
            <w:hyperlink r:id="rId10" w:history="1">
              <w:r w:rsidR="00F465E9" w:rsidRPr="00F465E9">
                <w:rPr>
                  <w:rFonts w:ascii="Century Gothic" w:eastAsia="Times New Roman" w:hAnsi="Century Gothic" w:cs="Trebuchet MS"/>
                  <w:b/>
                  <w:bCs/>
                  <w:color w:val="626262"/>
                  <w:lang w:eastAsia="el-GR"/>
                </w:rPr>
                <w:t>info@imegsevee.gr</w:t>
              </w:r>
            </w:hyperlink>
            <w:r w:rsidR="00F465E9" w:rsidRPr="00F465E9">
              <w:rPr>
                <w:rFonts w:ascii="Trebuchet MS" w:eastAsia="Times New Roman" w:hAnsi="Trebuchet MS" w:cs="Trebuchet MS"/>
                <w:b/>
                <w:bCs/>
                <w:color w:val="626262"/>
                <w:lang w:eastAsia="el-GR"/>
              </w:rPr>
              <w:t xml:space="preserve"> </w:t>
            </w:r>
          </w:p>
        </w:tc>
      </w:tr>
    </w:tbl>
    <w:p w:rsidR="00371084" w:rsidRPr="0062301C" w:rsidRDefault="00F465E9" w:rsidP="00077FA1">
      <w:pPr>
        <w:spacing w:after="0" w:line="360" w:lineRule="auto"/>
        <w:rPr>
          <w:rFonts w:ascii="Times New Roman" w:eastAsia="Times New Roman" w:hAnsi="Times New Roman" w:cs="Times New Roman"/>
          <w:sz w:val="24"/>
          <w:szCs w:val="24"/>
          <w:lang w:eastAsia="el-GR"/>
        </w:rPr>
      </w:pPr>
      <w:r w:rsidRPr="00F465E9">
        <w:rPr>
          <w:rFonts w:ascii="Arial Narrow" w:eastAsia="Times New Roman" w:hAnsi="Arial Narrow" w:cs="Times New Roman"/>
          <w:szCs w:val="24"/>
          <w:lang w:eastAsia="el-GR"/>
        </w:rPr>
        <w:tab/>
        <w:t xml:space="preserve">    </w:t>
      </w:r>
      <w:r w:rsidRPr="00F465E9">
        <w:rPr>
          <w:rFonts w:ascii="Arial Narrow" w:eastAsia="Times New Roman" w:hAnsi="Arial Narrow" w:cs="Times New Roman"/>
          <w:szCs w:val="24"/>
          <w:lang w:eastAsia="el-GR"/>
        </w:rPr>
        <w:tab/>
      </w:r>
      <w:r w:rsidRPr="00F465E9">
        <w:rPr>
          <w:rFonts w:ascii="Arial Narrow" w:eastAsia="Times New Roman" w:hAnsi="Arial Narrow" w:cs="Times New Roman"/>
          <w:szCs w:val="24"/>
          <w:lang w:eastAsia="el-GR"/>
        </w:rPr>
        <w:tab/>
      </w:r>
      <w:r w:rsidRPr="00F465E9">
        <w:rPr>
          <w:rFonts w:ascii="Arial Narrow" w:eastAsia="Times New Roman" w:hAnsi="Arial Narrow" w:cs="Times New Roman"/>
          <w:szCs w:val="24"/>
          <w:lang w:eastAsia="el-GR"/>
        </w:rPr>
        <w:tab/>
      </w:r>
      <w:r w:rsidRPr="00F465E9">
        <w:rPr>
          <w:rFonts w:ascii="Arial Narrow" w:eastAsia="Times New Roman" w:hAnsi="Arial Narrow" w:cs="Times New Roman"/>
          <w:szCs w:val="24"/>
          <w:lang w:eastAsia="el-GR"/>
        </w:rPr>
        <w:tab/>
      </w:r>
      <w:r w:rsidRPr="00F465E9">
        <w:rPr>
          <w:rFonts w:ascii="Arial Narrow" w:eastAsia="Times New Roman" w:hAnsi="Arial Narrow" w:cs="Times New Roman"/>
          <w:szCs w:val="24"/>
          <w:lang w:eastAsia="el-GR"/>
        </w:rPr>
        <w:tab/>
      </w:r>
      <w:r w:rsidRPr="00F465E9">
        <w:rPr>
          <w:rFonts w:ascii="Arial Narrow" w:eastAsia="Times New Roman" w:hAnsi="Arial Narrow" w:cs="Times New Roman"/>
          <w:szCs w:val="24"/>
          <w:lang w:eastAsia="el-GR"/>
        </w:rPr>
        <w:tab/>
        <w:t xml:space="preserve">             </w:t>
      </w:r>
    </w:p>
    <w:p w:rsidR="00371084" w:rsidRDefault="00371084" w:rsidP="00B07029">
      <w:pPr>
        <w:jc w:val="center"/>
        <w:rPr>
          <w:rFonts w:ascii="Arial Narrow" w:eastAsia="Times New Roman" w:hAnsi="Arial Narrow" w:cs="Times New Roman"/>
          <w:b/>
          <w:sz w:val="28"/>
          <w:szCs w:val="28"/>
          <w:u w:val="single"/>
          <w:lang w:eastAsia="el-GR"/>
        </w:rPr>
      </w:pPr>
    </w:p>
    <w:p w:rsidR="00F465E9" w:rsidRPr="00B07029" w:rsidRDefault="00F465E9" w:rsidP="00B07029">
      <w:pPr>
        <w:jc w:val="center"/>
        <w:rPr>
          <w:rFonts w:ascii="Times New Roman" w:eastAsia="Times New Roman" w:hAnsi="Times New Roman" w:cs="Times New Roman"/>
          <w:b/>
          <w:sz w:val="24"/>
          <w:szCs w:val="24"/>
          <w:u w:val="single"/>
          <w:lang w:eastAsia="el-GR"/>
        </w:rPr>
      </w:pPr>
      <w:r w:rsidRPr="00F465E9">
        <w:rPr>
          <w:rFonts w:ascii="Arial Narrow" w:eastAsia="Times New Roman" w:hAnsi="Arial Narrow" w:cs="Times New Roman"/>
          <w:b/>
          <w:sz w:val="28"/>
          <w:szCs w:val="28"/>
          <w:u w:val="single"/>
          <w:lang w:eastAsia="el-GR"/>
        </w:rPr>
        <w:t>ΑΝΑΛΥΤΙΚΑ ΣΤΟΙΧΕΙΑ ΕΡΕΥΝΑΣ</w:t>
      </w:r>
    </w:p>
    <w:p w:rsidR="00F465E9" w:rsidRPr="00F465E9" w:rsidRDefault="00F465E9" w:rsidP="00F465E9">
      <w:pPr>
        <w:spacing w:after="0" w:line="240" w:lineRule="auto"/>
        <w:jc w:val="center"/>
        <w:rPr>
          <w:rFonts w:ascii="Arial Narrow" w:eastAsia="Times New Roman" w:hAnsi="Arial Narrow" w:cs="Times New Roman"/>
          <w:b/>
          <w:sz w:val="28"/>
          <w:szCs w:val="28"/>
          <w:u w:val="single"/>
          <w:lang w:eastAsia="el-GR"/>
        </w:rPr>
      </w:pPr>
    </w:p>
    <w:p w:rsidR="00F465E9" w:rsidRPr="00F465E9" w:rsidRDefault="00F465E9" w:rsidP="00F465E9">
      <w:pPr>
        <w:spacing w:after="0" w:line="240" w:lineRule="auto"/>
        <w:rPr>
          <w:rFonts w:ascii="Arial Narrow" w:eastAsia="Times New Roman" w:hAnsi="Arial Narrow" w:cs="Times New Roman"/>
          <w:b/>
          <w:sz w:val="24"/>
          <w:szCs w:val="24"/>
          <w:u w:val="single"/>
          <w:lang w:eastAsia="el-GR"/>
        </w:rPr>
      </w:pPr>
      <w:r w:rsidRPr="00F465E9">
        <w:rPr>
          <w:rFonts w:ascii="Arial Narrow" w:eastAsia="Times New Roman" w:hAnsi="Arial Narrow" w:cs="Times New Roman"/>
          <w:b/>
          <w:sz w:val="24"/>
          <w:szCs w:val="24"/>
          <w:u w:val="single"/>
          <w:lang w:eastAsia="el-GR"/>
        </w:rPr>
        <w:t>ΠΟΡΕΙΑ Ε</w:t>
      </w:r>
      <w:r w:rsidR="00861231">
        <w:rPr>
          <w:rFonts w:ascii="Arial Narrow" w:eastAsia="Times New Roman" w:hAnsi="Arial Narrow" w:cs="Times New Roman"/>
          <w:b/>
          <w:sz w:val="24"/>
          <w:szCs w:val="24"/>
          <w:u w:val="single"/>
          <w:lang w:eastAsia="el-GR"/>
        </w:rPr>
        <w:t>ΙΣΟΔΗΜΑΤΟΣ ΝΟΙΚΟΚΥΡΙΩΝ</w:t>
      </w:r>
    </w:p>
    <w:p w:rsidR="00F465E9" w:rsidRPr="00F465E9" w:rsidRDefault="00F465E9" w:rsidP="00F465E9">
      <w:pPr>
        <w:spacing w:after="0" w:line="240" w:lineRule="auto"/>
        <w:jc w:val="both"/>
        <w:rPr>
          <w:rFonts w:ascii="Arial Narrow" w:eastAsia="Times New Roman" w:hAnsi="Arial Narrow" w:cs="Times New Roman"/>
          <w:b/>
          <w:sz w:val="24"/>
          <w:szCs w:val="24"/>
          <w:lang w:eastAsia="el-GR"/>
        </w:rPr>
      </w:pPr>
    </w:p>
    <w:p w:rsidR="00F465E9" w:rsidRPr="00861231" w:rsidRDefault="00F465E9" w:rsidP="00861231">
      <w:pPr>
        <w:numPr>
          <w:ilvl w:val="0"/>
          <w:numId w:val="1"/>
        </w:numPr>
        <w:spacing w:after="0" w:line="240" w:lineRule="auto"/>
        <w:jc w:val="both"/>
        <w:rPr>
          <w:rFonts w:ascii="Arial Narrow" w:eastAsia="Times New Roman" w:hAnsi="Arial Narrow" w:cs="Times New Roman"/>
          <w:sz w:val="24"/>
          <w:szCs w:val="24"/>
          <w:lang w:eastAsia="el-GR"/>
        </w:rPr>
      </w:pPr>
      <w:r w:rsidRPr="00AC75C5">
        <w:rPr>
          <w:rFonts w:ascii="Arial Narrow" w:eastAsia="Times New Roman" w:hAnsi="Arial Narrow" w:cs="Times New Roman"/>
          <w:sz w:val="24"/>
          <w:szCs w:val="24"/>
          <w:lang w:eastAsia="el-GR"/>
        </w:rPr>
        <w:t>Με βάσ</w:t>
      </w:r>
      <w:r w:rsidR="007821C5" w:rsidRPr="00AC75C5">
        <w:rPr>
          <w:rFonts w:ascii="Arial Narrow" w:eastAsia="Times New Roman" w:hAnsi="Arial Narrow" w:cs="Times New Roman"/>
          <w:sz w:val="24"/>
          <w:szCs w:val="24"/>
          <w:lang w:eastAsia="el-GR"/>
        </w:rPr>
        <w:t>η τα στοιχεία της έρευνας, το 93,7</w:t>
      </w:r>
      <w:r w:rsidRPr="00AC75C5">
        <w:rPr>
          <w:rFonts w:ascii="Arial Narrow" w:eastAsia="Times New Roman" w:hAnsi="Arial Narrow" w:cs="Times New Roman"/>
          <w:sz w:val="24"/>
          <w:szCs w:val="24"/>
          <w:lang w:eastAsia="el-GR"/>
        </w:rPr>
        <w:t xml:space="preserve">% των νοικοκυριών </w:t>
      </w:r>
      <w:r w:rsidR="005B68CC" w:rsidRPr="00AC75C5">
        <w:rPr>
          <w:rFonts w:ascii="Arial Narrow" w:eastAsia="Times New Roman" w:hAnsi="Arial Narrow" w:cs="Times New Roman"/>
          <w:sz w:val="24"/>
          <w:szCs w:val="24"/>
          <w:lang w:eastAsia="el-GR"/>
        </w:rPr>
        <w:t>παρουσίασε</w:t>
      </w:r>
      <w:r w:rsidRPr="00AC75C5">
        <w:rPr>
          <w:rFonts w:ascii="Arial Narrow" w:eastAsia="Times New Roman" w:hAnsi="Arial Narrow" w:cs="Times New Roman"/>
          <w:sz w:val="24"/>
          <w:szCs w:val="24"/>
          <w:lang w:eastAsia="el-GR"/>
        </w:rPr>
        <w:t xml:space="preserve"> σημαντική μείωση των εισοδημάτων μετά το ξέσπασμα της κρίσης (πίνακας 1). </w:t>
      </w:r>
      <w:r w:rsidR="00371084" w:rsidRPr="00AC75C5">
        <w:rPr>
          <w:rFonts w:ascii="Arial Narrow" w:eastAsia="Times New Roman" w:hAnsi="Arial Narrow" w:cs="Times New Roman"/>
          <w:b/>
          <w:lang w:eastAsia="el-GR"/>
        </w:rPr>
        <w:t xml:space="preserve">Πάνω από 3 στα 10 νοικοκυριά δηλώνουν ότι διαβιούν με ετήσιο οικογενειακό εισόδημα που </w:t>
      </w:r>
      <w:r w:rsidR="00AC75C5">
        <w:rPr>
          <w:rFonts w:ascii="Arial Narrow" w:eastAsia="Times New Roman" w:hAnsi="Arial Narrow" w:cs="Times New Roman"/>
          <w:b/>
          <w:lang w:eastAsia="el-GR"/>
        </w:rPr>
        <w:t>βρίσκεται</w:t>
      </w:r>
      <w:r w:rsidR="00371084" w:rsidRPr="00AC75C5">
        <w:rPr>
          <w:rFonts w:ascii="Arial Narrow" w:eastAsia="Times New Roman" w:hAnsi="Arial Narrow" w:cs="Times New Roman"/>
          <w:b/>
          <w:lang w:eastAsia="el-GR"/>
        </w:rPr>
        <w:t xml:space="preserve"> </w:t>
      </w:r>
      <w:r w:rsidR="00AC75C5">
        <w:rPr>
          <w:rFonts w:ascii="Arial Narrow" w:eastAsia="Times New Roman" w:hAnsi="Arial Narrow" w:cs="Times New Roman"/>
          <w:b/>
          <w:lang w:eastAsia="el-GR"/>
        </w:rPr>
        <w:t>στην κατώτερη εισοδηματική κλίμακα (&lt;</w:t>
      </w:r>
      <w:r w:rsidR="00371084" w:rsidRPr="00AC75C5">
        <w:rPr>
          <w:rFonts w:ascii="Arial Narrow" w:eastAsia="Times New Roman" w:hAnsi="Arial Narrow" w:cs="Times New Roman"/>
          <w:b/>
          <w:lang w:eastAsia="el-GR"/>
        </w:rPr>
        <w:t>10,000€</w:t>
      </w:r>
      <w:r w:rsidR="00AC75C5">
        <w:rPr>
          <w:rFonts w:ascii="Arial Narrow" w:eastAsia="Times New Roman" w:hAnsi="Arial Narrow" w:cs="Times New Roman"/>
          <w:b/>
          <w:lang w:eastAsia="el-GR"/>
        </w:rPr>
        <w:t>)</w:t>
      </w:r>
      <w:r w:rsidR="00371084" w:rsidRPr="00AC75C5">
        <w:rPr>
          <w:rFonts w:ascii="Arial Narrow" w:eastAsia="Times New Roman" w:hAnsi="Arial Narrow" w:cs="Times New Roman"/>
          <w:b/>
          <w:lang w:eastAsia="el-GR"/>
        </w:rPr>
        <w:t>.</w:t>
      </w:r>
      <w:r w:rsidR="00371084" w:rsidRPr="00AC75C5">
        <w:rPr>
          <w:rFonts w:ascii="Arial Narrow" w:eastAsia="Times New Roman" w:hAnsi="Arial Narrow" w:cs="Times New Roman"/>
          <w:lang w:eastAsia="el-GR"/>
        </w:rPr>
        <w:t xml:space="preserve"> </w:t>
      </w:r>
      <w:r w:rsidR="00AC75C5" w:rsidRPr="00AC75C5">
        <w:rPr>
          <w:rFonts w:ascii="Arial Narrow" w:eastAsia="Times New Roman" w:hAnsi="Arial Narrow" w:cs="Times New Roman"/>
          <w:b/>
          <w:sz w:val="24"/>
          <w:szCs w:val="24"/>
          <w:lang w:eastAsia="el-GR"/>
        </w:rPr>
        <w:t xml:space="preserve"> </w:t>
      </w:r>
      <w:r w:rsidR="00AC75C5" w:rsidRPr="00AC75C5">
        <w:rPr>
          <w:rFonts w:ascii="Arial Narrow" w:eastAsia="Times New Roman" w:hAnsi="Arial Narrow" w:cs="Times New Roman"/>
          <w:sz w:val="24"/>
          <w:szCs w:val="24"/>
          <w:lang w:eastAsia="el-GR"/>
        </w:rPr>
        <w:t>Θα πρέπει να λάβουμε υπόψη ότι η παραπάνω διαπίστωση έρχεται να προστεθεί στις αυξητικές τάσεις ανισότητας που αποτυπώνοντ</w:t>
      </w:r>
      <w:r w:rsidR="003576EA" w:rsidRPr="00AC75C5">
        <w:rPr>
          <w:rFonts w:ascii="Arial Narrow" w:eastAsia="Times New Roman" w:hAnsi="Arial Narrow" w:cs="Times New Roman"/>
          <w:sz w:val="24"/>
          <w:szCs w:val="24"/>
          <w:lang w:eastAsia="el-GR"/>
        </w:rPr>
        <w:t xml:space="preserve">αι σε </w:t>
      </w:r>
      <w:r w:rsidR="006966A2" w:rsidRPr="00AC75C5">
        <w:rPr>
          <w:rFonts w:ascii="Arial Narrow" w:eastAsia="Times New Roman" w:hAnsi="Arial Narrow" w:cs="Times New Roman"/>
          <w:sz w:val="24"/>
          <w:szCs w:val="24"/>
          <w:lang w:eastAsia="el-GR"/>
        </w:rPr>
        <w:t>μια σειρά από διεθνείς και εγχώριες μελέτες</w:t>
      </w:r>
      <w:r w:rsidR="00AF5F0A" w:rsidRPr="00AC75C5">
        <w:rPr>
          <w:rFonts w:ascii="Arial Narrow" w:eastAsia="Times New Roman" w:hAnsi="Arial Narrow" w:cs="Times New Roman"/>
          <w:sz w:val="24"/>
          <w:szCs w:val="24"/>
          <w:lang w:eastAsia="el-GR"/>
        </w:rPr>
        <w:t xml:space="preserve"> (ΟΟΣΑ, </w:t>
      </w:r>
      <w:r w:rsidR="00AF5F0A" w:rsidRPr="00AC75C5">
        <w:rPr>
          <w:rFonts w:ascii="Arial Narrow" w:eastAsia="Times New Roman" w:hAnsi="Arial Narrow" w:cs="Times New Roman"/>
          <w:sz w:val="24"/>
          <w:szCs w:val="24"/>
          <w:lang w:val="en-US" w:eastAsia="el-GR"/>
        </w:rPr>
        <w:t>EUROSTAT</w:t>
      </w:r>
      <w:r w:rsidR="00AF5F0A" w:rsidRPr="00AC75C5">
        <w:rPr>
          <w:rFonts w:ascii="Arial Narrow" w:eastAsia="Times New Roman" w:hAnsi="Arial Narrow" w:cs="Times New Roman"/>
          <w:sz w:val="24"/>
          <w:szCs w:val="24"/>
          <w:lang w:eastAsia="el-GR"/>
        </w:rPr>
        <w:t xml:space="preserve">, ΕΛΣΤΑΤ), όπου η Ελλάδα βρισκόταν  </w:t>
      </w:r>
      <w:r w:rsidR="009A7DB4" w:rsidRPr="00AC75C5">
        <w:rPr>
          <w:rFonts w:ascii="Arial Narrow" w:eastAsia="Times New Roman" w:hAnsi="Arial Narrow" w:cs="Times New Roman"/>
          <w:sz w:val="24"/>
          <w:szCs w:val="24"/>
          <w:lang w:eastAsia="el-GR"/>
        </w:rPr>
        <w:t xml:space="preserve">το </w:t>
      </w:r>
      <w:r w:rsidR="00AF5F0A" w:rsidRPr="00AC75C5">
        <w:rPr>
          <w:rFonts w:ascii="Arial Narrow" w:eastAsia="Times New Roman" w:hAnsi="Arial Narrow" w:cs="Times New Roman"/>
          <w:sz w:val="24"/>
          <w:szCs w:val="24"/>
          <w:lang w:eastAsia="el-GR"/>
        </w:rPr>
        <w:t>2013 στη 2</w:t>
      </w:r>
      <w:r w:rsidR="00AF5F0A" w:rsidRPr="00AC75C5">
        <w:rPr>
          <w:rFonts w:ascii="Arial Narrow" w:eastAsia="Times New Roman" w:hAnsi="Arial Narrow" w:cs="Times New Roman"/>
          <w:sz w:val="24"/>
          <w:szCs w:val="24"/>
          <w:vertAlign w:val="superscript"/>
          <w:lang w:eastAsia="el-GR"/>
        </w:rPr>
        <w:t>η</w:t>
      </w:r>
      <w:r w:rsidR="00AF5F0A" w:rsidRPr="00AC75C5">
        <w:rPr>
          <w:rFonts w:ascii="Arial Narrow" w:eastAsia="Times New Roman" w:hAnsi="Arial Narrow" w:cs="Times New Roman"/>
          <w:sz w:val="24"/>
          <w:szCs w:val="24"/>
          <w:lang w:eastAsia="el-GR"/>
        </w:rPr>
        <w:t xml:space="preserve"> χειρότερη θέση στην Ευρώπη ως προς το συντελεστή </w:t>
      </w:r>
      <w:r w:rsidR="00AC75C5" w:rsidRPr="00AC75C5">
        <w:rPr>
          <w:rFonts w:ascii="Arial Narrow" w:eastAsia="Times New Roman" w:hAnsi="Arial Narrow" w:cs="Times New Roman"/>
          <w:sz w:val="24"/>
          <w:szCs w:val="24"/>
          <w:lang w:eastAsia="el-GR"/>
        </w:rPr>
        <w:t xml:space="preserve">ανισότητας </w:t>
      </w:r>
      <w:proofErr w:type="spellStart"/>
      <w:r w:rsidR="00AF5F0A" w:rsidRPr="00AC75C5">
        <w:rPr>
          <w:rFonts w:ascii="Arial Narrow" w:eastAsia="Times New Roman" w:hAnsi="Arial Narrow" w:cs="Times New Roman"/>
          <w:sz w:val="24"/>
          <w:szCs w:val="24"/>
          <w:lang w:val="en-US" w:eastAsia="el-GR"/>
        </w:rPr>
        <w:t>Gini</w:t>
      </w:r>
      <w:proofErr w:type="spellEnd"/>
      <w:r w:rsidR="00AF5F0A" w:rsidRPr="00AC75C5">
        <w:rPr>
          <w:rFonts w:ascii="Arial Narrow" w:eastAsia="Times New Roman" w:hAnsi="Arial Narrow" w:cs="Times New Roman"/>
          <w:sz w:val="24"/>
          <w:szCs w:val="24"/>
          <w:lang w:eastAsia="el-GR"/>
        </w:rPr>
        <w:t xml:space="preserve">. </w:t>
      </w:r>
      <w:r w:rsidR="006966A2" w:rsidRPr="00AC75C5">
        <w:rPr>
          <w:rFonts w:ascii="Arial Narrow" w:eastAsia="Times New Roman" w:hAnsi="Arial Narrow" w:cs="Times New Roman"/>
          <w:sz w:val="24"/>
          <w:szCs w:val="24"/>
          <w:lang w:eastAsia="el-GR"/>
        </w:rPr>
        <w:t xml:space="preserve"> </w:t>
      </w:r>
      <w:r w:rsidRPr="00861231">
        <w:rPr>
          <w:rFonts w:ascii="Arial Narrow" w:eastAsia="Times New Roman" w:hAnsi="Arial Narrow" w:cs="Times New Roman"/>
          <w:sz w:val="24"/>
          <w:szCs w:val="24"/>
          <w:lang w:eastAsia="el-GR"/>
        </w:rPr>
        <w:t xml:space="preserve">Ιδιαίτερα ευάλωτες </w:t>
      </w:r>
      <w:r w:rsidR="00AF5F0A" w:rsidRPr="00861231">
        <w:rPr>
          <w:rFonts w:ascii="Arial Narrow" w:eastAsia="Times New Roman" w:hAnsi="Arial Narrow" w:cs="Times New Roman"/>
          <w:sz w:val="24"/>
          <w:szCs w:val="24"/>
          <w:lang w:eastAsia="el-GR"/>
        </w:rPr>
        <w:t>παρουσιάζονται</w:t>
      </w:r>
      <w:r w:rsidRPr="00861231">
        <w:rPr>
          <w:rFonts w:ascii="Arial Narrow" w:eastAsia="Times New Roman" w:hAnsi="Arial Narrow" w:cs="Times New Roman"/>
          <w:sz w:val="24"/>
          <w:szCs w:val="24"/>
          <w:lang w:eastAsia="el-GR"/>
        </w:rPr>
        <w:t xml:space="preserve"> οι οικογένειες</w:t>
      </w:r>
      <w:r w:rsidR="003576EA" w:rsidRPr="00861231">
        <w:rPr>
          <w:rFonts w:ascii="Arial Narrow" w:eastAsia="Times New Roman" w:hAnsi="Arial Narrow" w:cs="Times New Roman"/>
          <w:sz w:val="24"/>
          <w:szCs w:val="24"/>
          <w:lang w:eastAsia="el-GR"/>
        </w:rPr>
        <w:t xml:space="preserve"> που βρίσκονται στα αστικά κέντρα</w:t>
      </w:r>
      <w:r w:rsidRPr="00861231">
        <w:rPr>
          <w:rFonts w:ascii="Arial Narrow" w:eastAsia="Times New Roman" w:hAnsi="Arial Narrow" w:cs="Times New Roman"/>
          <w:sz w:val="24"/>
          <w:szCs w:val="24"/>
          <w:lang w:eastAsia="el-GR"/>
        </w:rPr>
        <w:t xml:space="preserve"> και οικογένειες που έχουν ένα τουλάχιστον άνεργο στο νοικοκυριό. </w:t>
      </w:r>
    </w:p>
    <w:p w:rsidR="00F465E9" w:rsidRPr="00556A99" w:rsidRDefault="00AC75C5" w:rsidP="00AC75C5">
      <w:pPr>
        <w:tabs>
          <w:tab w:val="left" w:pos="4320"/>
        </w:tabs>
        <w:spacing w:after="0" w:line="240" w:lineRule="auto"/>
        <w:jc w:val="both"/>
        <w:rPr>
          <w:rFonts w:ascii="Arial Narrow" w:eastAsia="Times New Roman" w:hAnsi="Arial Narrow" w:cs="Times New Roman"/>
          <w:b/>
          <w:color w:val="FF0000"/>
          <w:sz w:val="24"/>
          <w:szCs w:val="24"/>
          <w:lang w:eastAsia="el-GR"/>
        </w:rPr>
      </w:pPr>
      <w:r>
        <w:rPr>
          <w:rFonts w:ascii="Arial Narrow" w:eastAsia="Times New Roman" w:hAnsi="Arial Narrow" w:cs="Times New Roman"/>
          <w:b/>
          <w:color w:val="FF0000"/>
          <w:sz w:val="24"/>
          <w:szCs w:val="24"/>
          <w:lang w:eastAsia="el-GR"/>
        </w:rPr>
        <w:tab/>
      </w:r>
    </w:p>
    <w:p w:rsidR="00F465E9" w:rsidRPr="00C131BE" w:rsidRDefault="00F465E9" w:rsidP="00F465E9">
      <w:pPr>
        <w:spacing w:after="0" w:line="240" w:lineRule="auto"/>
        <w:ind w:left="720"/>
        <w:jc w:val="both"/>
        <w:rPr>
          <w:rFonts w:ascii="Arial Narrow" w:eastAsia="Times New Roman" w:hAnsi="Arial Narrow" w:cs="Times New Roman"/>
          <w:b/>
          <w:sz w:val="24"/>
          <w:szCs w:val="24"/>
          <w:u w:val="single"/>
          <w:lang w:eastAsia="el-GR"/>
        </w:rPr>
      </w:pPr>
      <w:r w:rsidRPr="00C131BE">
        <w:rPr>
          <w:rFonts w:ascii="Arial Narrow" w:eastAsia="Times New Roman" w:hAnsi="Arial Narrow" w:cs="Times New Roman"/>
          <w:b/>
          <w:sz w:val="24"/>
          <w:szCs w:val="24"/>
          <w:u w:val="single"/>
          <w:lang w:eastAsia="el-GR"/>
        </w:rPr>
        <w:t>Πίνακας 1- Το οικογενειακό εισόδημα μετά το ξέσπασμα της κρίσης</w:t>
      </w:r>
    </w:p>
    <w:p w:rsidR="00F465E9" w:rsidRPr="00F465E9" w:rsidRDefault="00556A99" w:rsidP="00F465E9">
      <w:pPr>
        <w:spacing w:after="0" w:line="240" w:lineRule="auto"/>
        <w:jc w:val="both"/>
        <w:rPr>
          <w:rFonts w:ascii="Arial Narrow" w:eastAsia="Times New Roman" w:hAnsi="Arial Narrow" w:cs="Times New Roman"/>
          <w:b/>
          <w:sz w:val="24"/>
          <w:szCs w:val="24"/>
          <w:lang w:eastAsia="el-GR"/>
        </w:rPr>
      </w:pPr>
      <w:r>
        <w:rPr>
          <w:rFonts w:ascii="Arial Narrow" w:eastAsia="Times New Roman" w:hAnsi="Arial Narrow" w:cs="Times New Roman"/>
          <w:b/>
          <w:noProof/>
          <w:sz w:val="24"/>
          <w:szCs w:val="24"/>
          <w:lang w:eastAsia="el-GR"/>
        </w:rPr>
        <w:drawing>
          <wp:anchor distT="0" distB="0" distL="114300" distR="114300" simplePos="0" relativeHeight="251669504" behindDoc="0" locked="0" layoutInCell="1" allowOverlap="1">
            <wp:simplePos x="0" y="0"/>
            <wp:positionH relativeFrom="column">
              <wp:posOffset>446405</wp:posOffset>
            </wp:positionH>
            <wp:positionV relativeFrom="paragraph">
              <wp:posOffset>48895</wp:posOffset>
            </wp:positionV>
            <wp:extent cx="5256404" cy="2066925"/>
            <wp:effectExtent l="0" t="0" r="0" b="0"/>
            <wp:wrapNone/>
            <wp:docPr id="12" name="Γράφημα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F465E9" w:rsidRPr="00F465E9" w:rsidRDefault="00F465E9" w:rsidP="00F465E9">
      <w:pPr>
        <w:spacing w:after="0" w:line="240" w:lineRule="auto"/>
        <w:jc w:val="both"/>
        <w:rPr>
          <w:rFonts w:ascii="Arial Narrow" w:eastAsia="Times New Roman" w:hAnsi="Arial Narrow" w:cs="Times New Roman"/>
          <w:b/>
          <w:sz w:val="24"/>
          <w:szCs w:val="24"/>
          <w:lang w:eastAsia="el-GR"/>
        </w:rPr>
      </w:pPr>
    </w:p>
    <w:p w:rsidR="00F465E9" w:rsidRPr="00F465E9" w:rsidRDefault="00F465E9" w:rsidP="00F465E9">
      <w:pPr>
        <w:spacing w:after="0" w:line="240" w:lineRule="auto"/>
        <w:jc w:val="both"/>
        <w:rPr>
          <w:rFonts w:ascii="Arial Narrow" w:eastAsia="Times New Roman" w:hAnsi="Arial Narrow" w:cs="Times New Roman"/>
          <w:b/>
          <w:sz w:val="24"/>
          <w:szCs w:val="24"/>
          <w:lang w:eastAsia="el-GR"/>
        </w:rPr>
      </w:pPr>
    </w:p>
    <w:p w:rsidR="00F465E9" w:rsidRPr="00F465E9" w:rsidRDefault="00F465E9" w:rsidP="00F465E9">
      <w:pPr>
        <w:spacing w:after="0" w:line="240" w:lineRule="auto"/>
        <w:jc w:val="both"/>
        <w:rPr>
          <w:rFonts w:ascii="Arial Narrow" w:eastAsia="Times New Roman" w:hAnsi="Arial Narrow" w:cs="Times New Roman"/>
          <w:b/>
          <w:sz w:val="24"/>
          <w:szCs w:val="24"/>
          <w:lang w:eastAsia="el-GR"/>
        </w:rPr>
      </w:pPr>
    </w:p>
    <w:p w:rsidR="00F465E9" w:rsidRPr="00F465E9" w:rsidRDefault="00F465E9" w:rsidP="00F465E9">
      <w:pPr>
        <w:spacing w:after="0" w:line="240" w:lineRule="auto"/>
        <w:jc w:val="both"/>
        <w:rPr>
          <w:rFonts w:ascii="Arial Narrow" w:eastAsia="Times New Roman" w:hAnsi="Arial Narrow" w:cs="Times New Roman"/>
          <w:b/>
          <w:sz w:val="24"/>
          <w:szCs w:val="24"/>
          <w:lang w:eastAsia="el-GR"/>
        </w:rPr>
      </w:pPr>
    </w:p>
    <w:p w:rsidR="00F465E9" w:rsidRPr="00F465E9" w:rsidRDefault="00F465E9" w:rsidP="00F465E9">
      <w:pPr>
        <w:spacing w:after="0" w:line="240" w:lineRule="auto"/>
        <w:jc w:val="both"/>
        <w:rPr>
          <w:rFonts w:ascii="Arial Narrow" w:eastAsia="Times New Roman" w:hAnsi="Arial Narrow" w:cs="Times New Roman"/>
          <w:b/>
          <w:sz w:val="24"/>
          <w:szCs w:val="24"/>
          <w:lang w:eastAsia="el-GR"/>
        </w:rPr>
      </w:pPr>
    </w:p>
    <w:p w:rsidR="00F465E9" w:rsidRPr="00F465E9" w:rsidRDefault="00F465E9" w:rsidP="00F465E9">
      <w:pPr>
        <w:spacing w:after="0" w:line="240" w:lineRule="auto"/>
        <w:jc w:val="both"/>
        <w:rPr>
          <w:rFonts w:ascii="Arial Narrow" w:eastAsia="Times New Roman" w:hAnsi="Arial Narrow" w:cs="Times New Roman"/>
          <w:b/>
          <w:sz w:val="24"/>
          <w:szCs w:val="24"/>
          <w:lang w:eastAsia="el-GR"/>
        </w:rPr>
      </w:pPr>
    </w:p>
    <w:p w:rsidR="00F465E9" w:rsidRPr="00F465E9" w:rsidRDefault="00F465E9" w:rsidP="00F465E9">
      <w:pPr>
        <w:spacing w:after="0" w:line="240" w:lineRule="auto"/>
        <w:jc w:val="both"/>
        <w:rPr>
          <w:rFonts w:ascii="Arial Narrow" w:eastAsia="Times New Roman" w:hAnsi="Arial Narrow" w:cs="Times New Roman"/>
          <w:b/>
          <w:sz w:val="24"/>
          <w:szCs w:val="24"/>
          <w:lang w:eastAsia="el-GR"/>
        </w:rPr>
      </w:pPr>
    </w:p>
    <w:p w:rsidR="00F465E9" w:rsidRPr="00F465E9" w:rsidRDefault="00F465E9" w:rsidP="00F465E9">
      <w:pPr>
        <w:spacing w:after="0" w:line="240" w:lineRule="auto"/>
        <w:jc w:val="both"/>
        <w:rPr>
          <w:rFonts w:ascii="Arial Narrow" w:eastAsia="Times New Roman" w:hAnsi="Arial Narrow" w:cs="Times New Roman"/>
          <w:b/>
          <w:sz w:val="24"/>
          <w:szCs w:val="24"/>
          <w:lang w:eastAsia="el-GR"/>
        </w:rPr>
      </w:pPr>
    </w:p>
    <w:p w:rsidR="00F465E9" w:rsidRPr="00F465E9" w:rsidRDefault="00F465E9" w:rsidP="00F465E9">
      <w:pPr>
        <w:spacing w:after="0" w:line="240" w:lineRule="auto"/>
        <w:jc w:val="both"/>
        <w:rPr>
          <w:rFonts w:ascii="Arial Narrow" w:eastAsia="Times New Roman" w:hAnsi="Arial Narrow" w:cs="Times New Roman"/>
          <w:b/>
          <w:sz w:val="24"/>
          <w:szCs w:val="24"/>
          <w:lang w:eastAsia="el-GR"/>
        </w:rPr>
      </w:pPr>
    </w:p>
    <w:p w:rsidR="00F465E9" w:rsidRPr="00F465E9" w:rsidRDefault="00F465E9" w:rsidP="00F465E9">
      <w:pPr>
        <w:spacing w:after="0" w:line="240" w:lineRule="auto"/>
        <w:jc w:val="both"/>
        <w:rPr>
          <w:rFonts w:ascii="Arial Narrow" w:eastAsia="Times New Roman" w:hAnsi="Arial Narrow" w:cs="Times New Roman"/>
          <w:b/>
          <w:sz w:val="24"/>
          <w:szCs w:val="24"/>
          <w:lang w:eastAsia="el-GR"/>
        </w:rPr>
      </w:pPr>
    </w:p>
    <w:p w:rsidR="00F465E9" w:rsidRDefault="00F465E9" w:rsidP="00F465E9">
      <w:pPr>
        <w:spacing w:after="0" w:line="240" w:lineRule="auto"/>
        <w:jc w:val="both"/>
        <w:rPr>
          <w:rFonts w:ascii="Arial Narrow" w:eastAsia="Times New Roman" w:hAnsi="Arial Narrow" w:cs="Times New Roman"/>
          <w:b/>
          <w:sz w:val="24"/>
          <w:szCs w:val="24"/>
          <w:lang w:eastAsia="el-GR"/>
        </w:rPr>
      </w:pPr>
    </w:p>
    <w:p w:rsidR="00F220F6" w:rsidRPr="00F465E9" w:rsidRDefault="00F220F6" w:rsidP="00F465E9">
      <w:pPr>
        <w:spacing w:after="0" w:line="240" w:lineRule="auto"/>
        <w:jc w:val="both"/>
        <w:rPr>
          <w:rFonts w:ascii="Arial Narrow" w:eastAsia="Times New Roman" w:hAnsi="Arial Narrow" w:cs="Times New Roman"/>
          <w:b/>
          <w:sz w:val="24"/>
          <w:szCs w:val="24"/>
          <w:lang w:eastAsia="el-GR"/>
        </w:rPr>
      </w:pPr>
    </w:p>
    <w:p w:rsidR="0044702F" w:rsidRDefault="006966A2" w:rsidP="00F465E9">
      <w:pPr>
        <w:numPr>
          <w:ilvl w:val="0"/>
          <w:numId w:val="1"/>
        </w:numPr>
        <w:spacing w:after="0" w:line="240" w:lineRule="auto"/>
        <w:jc w:val="both"/>
        <w:rPr>
          <w:rFonts w:ascii="Arial Narrow" w:eastAsia="Times New Roman" w:hAnsi="Arial Narrow" w:cs="Times New Roman"/>
          <w:sz w:val="24"/>
          <w:szCs w:val="24"/>
          <w:lang w:eastAsia="el-GR"/>
        </w:rPr>
      </w:pPr>
      <w:r>
        <w:rPr>
          <w:rFonts w:ascii="Arial Narrow" w:eastAsia="Times New Roman" w:hAnsi="Arial Narrow" w:cs="Times New Roman"/>
          <w:sz w:val="24"/>
          <w:szCs w:val="24"/>
          <w:lang w:eastAsia="el-GR"/>
        </w:rPr>
        <w:t xml:space="preserve">Σε σχέση με το </w:t>
      </w:r>
      <w:r w:rsidR="0044702F">
        <w:rPr>
          <w:rFonts w:ascii="Arial Narrow" w:eastAsia="Times New Roman" w:hAnsi="Arial Narrow" w:cs="Times New Roman"/>
          <w:sz w:val="24"/>
          <w:szCs w:val="24"/>
          <w:lang w:eastAsia="el-GR"/>
        </w:rPr>
        <w:t>προηγούμενο έτος (2013)</w:t>
      </w:r>
      <w:r>
        <w:rPr>
          <w:rFonts w:ascii="Arial Narrow" w:eastAsia="Times New Roman" w:hAnsi="Arial Narrow" w:cs="Times New Roman"/>
          <w:sz w:val="24"/>
          <w:szCs w:val="24"/>
          <w:lang w:eastAsia="el-GR"/>
        </w:rPr>
        <w:t xml:space="preserve"> </w:t>
      </w:r>
      <w:r w:rsidR="00AC75C5">
        <w:rPr>
          <w:rFonts w:ascii="Arial Narrow" w:eastAsia="Times New Roman" w:hAnsi="Arial Narrow" w:cs="Times New Roman"/>
          <w:sz w:val="24"/>
          <w:szCs w:val="24"/>
          <w:lang w:eastAsia="el-GR"/>
        </w:rPr>
        <w:t>σχεδόν τα ¾ των νοικοκυριών αναφέρουν ότι έχουν</w:t>
      </w:r>
      <w:r>
        <w:rPr>
          <w:rFonts w:ascii="Arial Narrow" w:eastAsia="Times New Roman" w:hAnsi="Arial Narrow" w:cs="Times New Roman"/>
          <w:sz w:val="24"/>
          <w:szCs w:val="24"/>
          <w:lang w:eastAsia="el-GR"/>
        </w:rPr>
        <w:t xml:space="preserve"> υποστεί μειώσεις μέσα στο 2014</w:t>
      </w:r>
      <w:r w:rsidR="00F465E9" w:rsidRPr="00F465E9">
        <w:rPr>
          <w:rFonts w:ascii="Arial Narrow" w:eastAsia="Times New Roman" w:hAnsi="Arial Narrow" w:cs="Times New Roman"/>
          <w:sz w:val="24"/>
          <w:szCs w:val="24"/>
          <w:lang w:eastAsia="el-GR"/>
        </w:rPr>
        <w:t xml:space="preserve">, γεγονός που </w:t>
      </w:r>
      <w:r w:rsidR="0044702F">
        <w:rPr>
          <w:rFonts w:ascii="Arial Narrow" w:eastAsia="Times New Roman" w:hAnsi="Arial Narrow" w:cs="Times New Roman"/>
          <w:sz w:val="24"/>
          <w:szCs w:val="24"/>
          <w:lang w:eastAsia="el-GR"/>
        </w:rPr>
        <w:t>καταδεικνύει</w:t>
      </w:r>
      <w:r w:rsidR="00F465E9" w:rsidRPr="00F465E9">
        <w:rPr>
          <w:rFonts w:ascii="Arial Narrow" w:eastAsia="Times New Roman" w:hAnsi="Arial Narrow" w:cs="Times New Roman"/>
          <w:sz w:val="24"/>
          <w:szCs w:val="24"/>
          <w:lang w:eastAsia="el-GR"/>
        </w:rPr>
        <w:t xml:space="preserve"> ότι τα εισοδήματα </w:t>
      </w:r>
      <w:r>
        <w:rPr>
          <w:rFonts w:ascii="Arial Narrow" w:eastAsia="Times New Roman" w:hAnsi="Arial Narrow" w:cs="Times New Roman"/>
          <w:sz w:val="24"/>
          <w:szCs w:val="24"/>
          <w:lang w:eastAsia="el-GR"/>
        </w:rPr>
        <w:t>συνε</w:t>
      </w:r>
      <w:r w:rsidR="00AC75C5">
        <w:rPr>
          <w:rFonts w:ascii="Arial Narrow" w:eastAsia="Times New Roman" w:hAnsi="Arial Narrow" w:cs="Times New Roman"/>
          <w:sz w:val="24"/>
          <w:szCs w:val="24"/>
          <w:lang w:eastAsia="el-GR"/>
        </w:rPr>
        <w:t>χίζουν την καθοδική τους πορεία</w:t>
      </w:r>
      <w:r w:rsidR="009A7DB4">
        <w:rPr>
          <w:rFonts w:ascii="Arial Narrow" w:eastAsia="Times New Roman" w:hAnsi="Arial Narrow" w:cs="Times New Roman"/>
          <w:sz w:val="24"/>
          <w:szCs w:val="24"/>
          <w:lang w:eastAsia="el-GR"/>
        </w:rPr>
        <w:t xml:space="preserve">. </w:t>
      </w:r>
      <w:r w:rsidR="00AC75C5">
        <w:rPr>
          <w:rFonts w:ascii="Arial Narrow" w:eastAsia="Times New Roman" w:hAnsi="Arial Narrow" w:cs="Times New Roman"/>
          <w:sz w:val="24"/>
          <w:szCs w:val="24"/>
          <w:lang w:eastAsia="el-GR"/>
        </w:rPr>
        <w:t xml:space="preserve">Η </w:t>
      </w:r>
      <w:proofErr w:type="spellStart"/>
      <w:r w:rsidR="00AC75C5">
        <w:rPr>
          <w:rFonts w:ascii="Arial Narrow" w:eastAsia="Times New Roman" w:hAnsi="Arial Narrow" w:cs="Times New Roman"/>
          <w:sz w:val="24"/>
          <w:szCs w:val="24"/>
          <w:lang w:eastAsia="el-GR"/>
        </w:rPr>
        <w:t>Δυτ</w:t>
      </w:r>
      <w:proofErr w:type="spellEnd"/>
      <w:r w:rsidR="00AC75C5">
        <w:rPr>
          <w:rFonts w:ascii="Arial Narrow" w:eastAsia="Times New Roman" w:hAnsi="Arial Narrow" w:cs="Times New Roman"/>
          <w:sz w:val="24"/>
          <w:szCs w:val="24"/>
          <w:lang w:eastAsia="el-GR"/>
        </w:rPr>
        <w:t xml:space="preserve">. Ελλάδα, Πε\λοπόννησος και Ιόνια κατέχουν </w:t>
      </w:r>
      <w:r w:rsidR="0044702F">
        <w:rPr>
          <w:rFonts w:ascii="Arial Narrow" w:eastAsia="Times New Roman" w:hAnsi="Arial Narrow" w:cs="Times New Roman"/>
          <w:sz w:val="24"/>
          <w:szCs w:val="24"/>
          <w:lang w:eastAsia="el-GR"/>
        </w:rPr>
        <w:t>τη θλιβερή πρωτιά σε αυτήν την κατηγορία</w:t>
      </w:r>
      <w:r w:rsidR="00AC75C5">
        <w:rPr>
          <w:rFonts w:ascii="Arial Narrow" w:eastAsia="Times New Roman" w:hAnsi="Arial Narrow" w:cs="Times New Roman"/>
          <w:sz w:val="24"/>
          <w:szCs w:val="24"/>
          <w:lang w:eastAsia="el-GR"/>
        </w:rPr>
        <w:t xml:space="preserve"> (78,4%)</w:t>
      </w:r>
      <w:r w:rsidR="0044702F">
        <w:rPr>
          <w:rFonts w:ascii="Arial Narrow" w:eastAsia="Times New Roman" w:hAnsi="Arial Narrow" w:cs="Times New Roman"/>
          <w:sz w:val="24"/>
          <w:szCs w:val="24"/>
          <w:lang w:eastAsia="el-GR"/>
        </w:rPr>
        <w:t>.</w:t>
      </w:r>
    </w:p>
    <w:p w:rsidR="00C131BE" w:rsidRPr="00C131BE" w:rsidRDefault="006966A2" w:rsidP="00F465E9">
      <w:pPr>
        <w:numPr>
          <w:ilvl w:val="0"/>
          <w:numId w:val="1"/>
        </w:numPr>
        <w:spacing w:after="0" w:line="240" w:lineRule="auto"/>
        <w:jc w:val="both"/>
        <w:rPr>
          <w:rFonts w:ascii="Arial Narrow" w:eastAsia="Times New Roman" w:hAnsi="Arial Narrow" w:cs="Times New Roman"/>
          <w:color w:val="FF0000"/>
          <w:sz w:val="24"/>
          <w:szCs w:val="24"/>
          <w:lang w:eastAsia="el-GR"/>
        </w:rPr>
      </w:pPr>
      <w:r w:rsidRPr="00C131BE">
        <w:rPr>
          <w:rFonts w:ascii="Arial Narrow" w:eastAsia="Times New Roman" w:hAnsi="Arial Narrow" w:cs="Times New Roman"/>
          <w:sz w:val="24"/>
          <w:szCs w:val="24"/>
          <w:lang w:eastAsia="el-GR"/>
        </w:rPr>
        <w:t xml:space="preserve"> Το 46,9</w:t>
      </w:r>
      <w:r w:rsidR="00F465E9" w:rsidRPr="00C131BE">
        <w:rPr>
          <w:rFonts w:ascii="Arial Narrow" w:eastAsia="Times New Roman" w:hAnsi="Arial Narrow" w:cs="Times New Roman"/>
          <w:sz w:val="24"/>
          <w:szCs w:val="24"/>
          <w:lang w:eastAsia="el-GR"/>
        </w:rPr>
        <w:t>%</w:t>
      </w:r>
      <w:r w:rsidRPr="00C131BE">
        <w:rPr>
          <w:rFonts w:ascii="Arial Narrow" w:eastAsia="Times New Roman" w:hAnsi="Arial Narrow" w:cs="Times New Roman"/>
          <w:sz w:val="24"/>
          <w:szCs w:val="24"/>
          <w:lang w:eastAsia="el-GR"/>
        </w:rPr>
        <w:t xml:space="preserve"> </w:t>
      </w:r>
      <w:r w:rsidR="00F465E9" w:rsidRPr="00C131BE">
        <w:rPr>
          <w:rFonts w:ascii="Arial Narrow" w:eastAsia="Times New Roman" w:hAnsi="Arial Narrow" w:cs="Times New Roman"/>
          <w:sz w:val="24"/>
          <w:szCs w:val="24"/>
          <w:lang w:eastAsia="el-GR"/>
        </w:rPr>
        <w:t xml:space="preserve"> του πληθυσμού δήλωσε ότι το οικογενειακό εισόδημα δεν επαρκεί για την κάλυψη των αναγκών και </w:t>
      </w:r>
      <w:r w:rsidR="0044702F" w:rsidRPr="00C131BE">
        <w:rPr>
          <w:rFonts w:ascii="Arial Narrow" w:eastAsia="Times New Roman" w:hAnsi="Arial Narrow" w:cs="Times New Roman"/>
          <w:sz w:val="24"/>
          <w:szCs w:val="24"/>
          <w:lang w:eastAsia="el-GR"/>
        </w:rPr>
        <w:t>το</w:t>
      </w:r>
      <w:r w:rsidR="00AF5F0A" w:rsidRPr="00C131BE">
        <w:rPr>
          <w:rFonts w:ascii="Arial Narrow" w:eastAsia="Times New Roman" w:hAnsi="Arial Narrow" w:cs="Times New Roman"/>
          <w:sz w:val="24"/>
          <w:szCs w:val="24"/>
          <w:lang w:eastAsia="el-GR"/>
        </w:rPr>
        <w:t xml:space="preserve"> </w:t>
      </w:r>
      <w:r w:rsidR="001C4D2F">
        <w:rPr>
          <w:rFonts w:ascii="Arial Narrow" w:eastAsia="Times New Roman" w:hAnsi="Arial Narrow" w:cs="Times New Roman"/>
          <w:sz w:val="24"/>
          <w:szCs w:val="24"/>
          <w:lang w:eastAsia="el-GR"/>
        </w:rPr>
        <w:t xml:space="preserve">55% του πληθυσμού </w:t>
      </w:r>
      <w:r w:rsidR="0044702F" w:rsidRPr="00C131BE">
        <w:rPr>
          <w:rFonts w:ascii="Arial Narrow" w:eastAsia="Times New Roman" w:hAnsi="Arial Narrow" w:cs="Times New Roman"/>
          <w:sz w:val="24"/>
          <w:szCs w:val="24"/>
          <w:lang w:eastAsia="el-GR"/>
        </w:rPr>
        <w:t xml:space="preserve">δήλωσε ότι </w:t>
      </w:r>
      <w:r w:rsidR="00F465E9" w:rsidRPr="00C131BE">
        <w:rPr>
          <w:rFonts w:ascii="Arial Narrow" w:eastAsia="Times New Roman" w:hAnsi="Arial Narrow" w:cs="Times New Roman"/>
          <w:sz w:val="24"/>
          <w:szCs w:val="24"/>
          <w:lang w:eastAsia="el-GR"/>
        </w:rPr>
        <w:t>χρειάστηκε επιπρόσθετους</w:t>
      </w:r>
      <w:r w:rsidR="0044702F" w:rsidRPr="00C131BE">
        <w:rPr>
          <w:rFonts w:ascii="Arial Narrow" w:eastAsia="Times New Roman" w:hAnsi="Arial Narrow" w:cs="Times New Roman"/>
          <w:sz w:val="24"/>
          <w:szCs w:val="24"/>
          <w:lang w:eastAsia="el-GR"/>
        </w:rPr>
        <w:t xml:space="preserve"> μη ίδιους</w:t>
      </w:r>
      <w:r w:rsidR="00F465E9" w:rsidRPr="00C131BE">
        <w:rPr>
          <w:rFonts w:ascii="Arial Narrow" w:eastAsia="Times New Roman" w:hAnsi="Arial Narrow" w:cs="Times New Roman"/>
          <w:sz w:val="24"/>
          <w:szCs w:val="24"/>
          <w:lang w:eastAsia="el-GR"/>
        </w:rPr>
        <w:t xml:space="preserve"> πόρους (δανεισμό από συγγενείς- φίλους, τραπεζικό δανεισμό, εκποίηση περιουσιακών στοιχείων</w:t>
      </w:r>
      <w:r w:rsidR="001C4D2F">
        <w:rPr>
          <w:rFonts w:ascii="Arial Narrow" w:eastAsia="Times New Roman" w:hAnsi="Arial Narrow" w:cs="Times New Roman"/>
          <w:sz w:val="24"/>
          <w:szCs w:val="24"/>
          <w:lang w:eastAsia="el-GR"/>
        </w:rPr>
        <w:t>, ενεχυροδανειστήριο</w:t>
      </w:r>
      <w:r w:rsidR="00F465E9" w:rsidRPr="00C131BE">
        <w:rPr>
          <w:rFonts w:ascii="Arial Narrow" w:eastAsia="Times New Roman" w:hAnsi="Arial Narrow" w:cs="Times New Roman"/>
          <w:sz w:val="24"/>
          <w:szCs w:val="24"/>
          <w:lang w:eastAsia="el-GR"/>
        </w:rPr>
        <w:t xml:space="preserve">). </w:t>
      </w:r>
    </w:p>
    <w:p w:rsidR="00F465E9" w:rsidRPr="00C131BE" w:rsidRDefault="00AC2C6C" w:rsidP="00F465E9">
      <w:pPr>
        <w:numPr>
          <w:ilvl w:val="0"/>
          <w:numId w:val="1"/>
        </w:numPr>
        <w:spacing w:after="0" w:line="240" w:lineRule="auto"/>
        <w:jc w:val="both"/>
        <w:rPr>
          <w:rFonts w:ascii="Arial Narrow" w:eastAsia="Times New Roman" w:hAnsi="Arial Narrow" w:cs="Times New Roman"/>
          <w:color w:val="FF0000"/>
          <w:sz w:val="24"/>
          <w:szCs w:val="24"/>
          <w:lang w:eastAsia="el-GR"/>
        </w:rPr>
      </w:pPr>
      <w:r w:rsidRPr="00C131BE">
        <w:rPr>
          <w:rFonts w:ascii="Arial Narrow" w:eastAsia="Times New Roman" w:hAnsi="Arial Narrow" w:cs="Times New Roman"/>
          <w:sz w:val="24"/>
          <w:szCs w:val="24"/>
          <w:lang w:eastAsia="el-GR"/>
        </w:rPr>
        <w:t>Το 35,9</w:t>
      </w:r>
      <w:r w:rsidR="006966A2" w:rsidRPr="00C131BE">
        <w:rPr>
          <w:rFonts w:ascii="Arial Narrow" w:eastAsia="Times New Roman" w:hAnsi="Arial Narrow" w:cs="Times New Roman"/>
          <w:sz w:val="24"/>
          <w:szCs w:val="24"/>
          <w:lang w:eastAsia="el-GR"/>
        </w:rPr>
        <w:t xml:space="preserve"> </w:t>
      </w:r>
      <w:r w:rsidR="00F465E9" w:rsidRPr="00C131BE">
        <w:rPr>
          <w:rFonts w:ascii="Arial Narrow" w:eastAsia="Times New Roman" w:hAnsi="Arial Narrow" w:cs="Times New Roman"/>
          <w:sz w:val="24"/>
          <w:szCs w:val="24"/>
          <w:lang w:eastAsia="el-GR"/>
        </w:rPr>
        <w:t xml:space="preserve">% των νοικοκυριών, δηλαδή </w:t>
      </w:r>
      <w:r w:rsidRPr="00C131BE">
        <w:rPr>
          <w:rFonts w:ascii="Arial Narrow" w:eastAsia="Times New Roman" w:hAnsi="Arial Narrow" w:cs="Times New Roman"/>
          <w:sz w:val="24"/>
          <w:szCs w:val="24"/>
          <w:lang w:eastAsia="el-GR"/>
        </w:rPr>
        <w:t xml:space="preserve">πάνω από </w:t>
      </w:r>
      <w:r w:rsidRPr="00AC75C5">
        <w:rPr>
          <w:rFonts w:ascii="Arial Narrow" w:eastAsia="Times New Roman" w:hAnsi="Arial Narrow" w:cs="Times New Roman"/>
          <w:sz w:val="24"/>
          <w:szCs w:val="24"/>
          <w:lang w:eastAsia="el-GR"/>
        </w:rPr>
        <w:t>1</w:t>
      </w:r>
      <w:r w:rsidR="0044702F" w:rsidRPr="00AC75C5">
        <w:rPr>
          <w:rFonts w:ascii="Arial Narrow" w:eastAsia="Times New Roman" w:hAnsi="Arial Narrow" w:cs="Times New Roman"/>
          <w:sz w:val="24"/>
          <w:szCs w:val="24"/>
          <w:lang w:eastAsia="el-GR"/>
        </w:rPr>
        <w:t xml:space="preserve"> </w:t>
      </w:r>
      <w:r w:rsidR="00F465E9" w:rsidRPr="00AC75C5">
        <w:rPr>
          <w:rFonts w:ascii="Arial Narrow" w:eastAsia="Times New Roman" w:hAnsi="Arial Narrow" w:cs="Times New Roman"/>
          <w:sz w:val="24"/>
          <w:szCs w:val="24"/>
          <w:lang w:eastAsia="el-GR"/>
        </w:rPr>
        <w:t>εκ.</w:t>
      </w:r>
      <w:r w:rsidR="00F465E9" w:rsidRPr="00C131BE">
        <w:rPr>
          <w:rFonts w:ascii="Arial Narrow" w:eastAsia="Times New Roman" w:hAnsi="Arial Narrow" w:cs="Times New Roman"/>
          <w:sz w:val="24"/>
          <w:szCs w:val="24"/>
          <w:lang w:eastAsia="el-GR"/>
        </w:rPr>
        <w:t xml:space="preserve"> νοικοκυριά έχουν στην οικογένεια ένα τουλάχιστο άτομο σε ανεργία. Από αυτό το ποσοστό μόνο το </w:t>
      </w:r>
      <w:r w:rsidRPr="00C131BE">
        <w:rPr>
          <w:rFonts w:ascii="Arial Narrow" w:eastAsia="Times New Roman" w:hAnsi="Arial Narrow" w:cs="Times New Roman"/>
          <w:sz w:val="24"/>
          <w:szCs w:val="24"/>
          <w:lang w:eastAsia="el-GR"/>
        </w:rPr>
        <w:t>8,9</w:t>
      </w:r>
      <w:r w:rsidR="00AC75C5">
        <w:rPr>
          <w:rFonts w:ascii="Arial Narrow" w:eastAsia="Times New Roman" w:hAnsi="Arial Narrow" w:cs="Times New Roman"/>
          <w:sz w:val="24"/>
          <w:szCs w:val="24"/>
          <w:lang w:eastAsia="el-GR"/>
        </w:rPr>
        <w:t>% λαμβάνει επίδομα ανεργίας.</w:t>
      </w:r>
      <w:r w:rsidR="00F465E9" w:rsidRPr="00C131BE">
        <w:rPr>
          <w:rFonts w:ascii="Arial Narrow" w:eastAsia="Times New Roman" w:hAnsi="Arial Narrow" w:cs="Times New Roman"/>
          <w:sz w:val="24"/>
          <w:szCs w:val="24"/>
          <w:lang w:eastAsia="el-GR"/>
        </w:rPr>
        <w:t xml:space="preserve"> Περισσότεροι από 1 εκ. πολίτες  έχουν μείνει ακάλυπτοι για τον κίνδυνο της ανεργίας.</w:t>
      </w:r>
      <w:r w:rsidRPr="00C131BE">
        <w:rPr>
          <w:rFonts w:ascii="Arial Narrow" w:eastAsia="Times New Roman" w:hAnsi="Arial Narrow" w:cs="Times New Roman"/>
          <w:sz w:val="24"/>
          <w:szCs w:val="24"/>
          <w:lang w:eastAsia="el-GR"/>
        </w:rPr>
        <w:t xml:space="preserve"> Είναι χαρακτηριστικό ότι το </w:t>
      </w:r>
      <w:r w:rsidR="00B73CEA" w:rsidRPr="00C131BE">
        <w:rPr>
          <w:rFonts w:ascii="Arial Narrow" w:eastAsia="Times New Roman" w:hAnsi="Arial Narrow" w:cs="Times New Roman"/>
          <w:sz w:val="24"/>
          <w:szCs w:val="24"/>
          <w:lang w:eastAsia="el-GR"/>
        </w:rPr>
        <w:t>σχεδόν 3 στους 4 ανέργους (74,7%) βρίσκονται σε κατάσταση μακροχρόνιας ανεργίας, γεγονός που αποτελεί βόμβα για την παραγωγική δυναμική της χώρας.</w:t>
      </w:r>
    </w:p>
    <w:p w:rsidR="00F465E9" w:rsidRDefault="00F465E9" w:rsidP="00F465E9">
      <w:pPr>
        <w:numPr>
          <w:ilvl w:val="0"/>
          <w:numId w:val="1"/>
        </w:numPr>
        <w:spacing w:after="0" w:line="240" w:lineRule="auto"/>
        <w:jc w:val="both"/>
        <w:rPr>
          <w:rFonts w:ascii="Arial Narrow" w:eastAsia="Times New Roman" w:hAnsi="Arial Narrow" w:cs="Times New Roman"/>
          <w:sz w:val="24"/>
          <w:szCs w:val="24"/>
          <w:lang w:eastAsia="el-GR"/>
        </w:rPr>
      </w:pPr>
      <w:r w:rsidRPr="00F465E9">
        <w:rPr>
          <w:rFonts w:ascii="Arial Narrow" w:eastAsia="Times New Roman" w:hAnsi="Arial Narrow" w:cs="Times New Roman"/>
          <w:sz w:val="24"/>
          <w:szCs w:val="24"/>
          <w:lang w:eastAsia="el-GR"/>
        </w:rPr>
        <w:t xml:space="preserve">Συνολικά, </w:t>
      </w:r>
      <w:r w:rsidR="00AC75C5">
        <w:rPr>
          <w:rFonts w:ascii="Arial Narrow" w:eastAsia="Times New Roman" w:hAnsi="Arial Narrow" w:cs="Times New Roman"/>
          <w:sz w:val="24"/>
          <w:szCs w:val="24"/>
          <w:lang w:eastAsia="el-GR"/>
        </w:rPr>
        <w:t xml:space="preserve">η συνεισφορά των μισθών </w:t>
      </w:r>
      <w:r w:rsidRPr="0075058D">
        <w:rPr>
          <w:rFonts w:ascii="Arial Narrow" w:eastAsia="Times New Roman" w:hAnsi="Arial Narrow" w:cs="Times New Roman"/>
          <w:sz w:val="24"/>
          <w:szCs w:val="24"/>
          <w:lang w:eastAsia="el-GR"/>
        </w:rPr>
        <w:t xml:space="preserve">και </w:t>
      </w:r>
      <w:r w:rsidR="0044702F" w:rsidRPr="0075058D">
        <w:rPr>
          <w:rFonts w:ascii="Arial Narrow" w:eastAsia="Times New Roman" w:hAnsi="Arial Narrow" w:cs="Times New Roman"/>
          <w:sz w:val="24"/>
          <w:szCs w:val="24"/>
          <w:lang w:eastAsia="el-GR"/>
        </w:rPr>
        <w:t>εσόδων από κέρδη και περιουσία</w:t>
      </w:r>
      <w:r w:rsidRPr="0075058D">
        <w:rPr>
          <w:rFonts w:ascii="Arial Narrow" w:eastAsia="Times New Roman" w:hAnsi="Arial Narrow" w:cs="Times New Roman"/>
          <w:sz w:val="24"/>
          <w:szCs w:val="24"/>
          <w:lang w:eastAsia="el-GR"/>
        </w:rPr>
        <w:t xml:space="preserve"> στο οικογενειακό εισόδημα μειώνεται κατ</w:t>
      </w:r>
      <w:r w:rsidR="00AC75C5">
        <w:rPr>
          <w:rFonts w:ascii="Arial Narrow" w:eastAsia="Times New Roman" w:hAnsi="Arial Narrow" w:cs="Times New Roman"/>
          <w:sz w:val="24"/>
          <w:szCs w:val="24"/>
          <w:lang w:eastAsia="el-GR"/>
        </w:rPr>
        <w:t>ακόρυφα μέσα στην κρίση. Είναι αξιοσημείωτο ότι</w:t>
      </w:r>
      <w:r w:rsidRPr="0075058D">
        <w:rPr>
          <w:rFonts w:ascii="Arial Narrow" w:eastAsia="Times New Roman" w:hAnsi="Arial Narrow" w:cs="Times New Roman"/>
          <w:sz w:val="24"/>
          <w:szCs w:val="24"/>
          <w:lang w:eastAsia="el-GR"/>
        </w:rPr>
        <w:t xml:space="preserve"> </w:t>
      </w:r>
      <w:r w:rsidRPr="0075058D">
        <w:rPr>
          <w:rFonts w:ascii="Arial Narrow" w:eastAsia="Times New Roman" w:hAnsi="Arial Narrow" w:cs="Times New Roman"/>
          <w:b/>
          <w:sz w:val="24"/>
          <w:szCs w:val="24"/>
          <w:lang w:eastAsia="el-GR"/>
        </w:rPr>
        <w:t xml:space="preserve">οι συντάξεις αποτελούν για το </w:t>
      </w:r>
      <w:r w:rsidR="00B73CEA" w:rsidRPr="0075058D">
        <w:rPr>
          <w:rFonts w:ascii="Arial Narrow" w:eastAsia="Times New Roman" w:hAnsi="Arial Narrow" w:cs="Times New Roman"/>
          <w:b/>
          <w:sz w:val="24"/>
          <w:szCs w:val="24"/>
          <w:lang w:eastAsia="el-GR"/>
        </w:rPr>
        <w:t>52%</w:t>
      </w:r>
      <w:r w:rsidRPr="0075058D">
        <w:rPr>
          <w:rFonts w:ascii="Arial Narrow" w:eastAsia="Times New Roman" w:hAnsi="Arial Narrow" w:cs="Times New Roman"/>
          <w:b/>
          <w:sz w:val="24"/>
          <w:szCs w:val="24"/>
          <w:lang w:eastAsia="el-GR"/>
        </w:rPr>
        <w:t xml:space="preserve"> των νοικοκυριών την κυριότερη πηγή εισοδήματο</w:t>
      </w:r>
      <w:r w:rsidRPr="00F465E9">
        <w:rPr>
          <w:rFonts w:ascii="Arial Narrow" w:eastAsia="Times New Roman" w:hAnsi="Arial Narrow" w:cs="Times New Roman"/>
          <w:b/>
          <w:sz w:val="24"/>
          <w:szCs w:val="24"/>
          <w:lang w:eastAsia="el-GR"/>
        </w:rPr>
        <w:t>ς</w:t>
      </w:r>
      <w:r w:rsidR="009B1220">
        <w:rPr>
          <w:rFonts w:ascii="Arial Narrow" w:eastAsia="Times New Roman" w:hAnsi="Arial Narrow" w:cs="Times New Roman"/>
          <w:sz w:val="24"/>
          <w:szCs w:val="24"/>
          <w:lang w:eastAsia="el-GR"/>
        </w:rPr>
        <w:t>.</w:t>
      </w:r>
      <w:r w:rsidR="009B1220" w:rsidRPr="009B1220">
        <w:rPr>
          <w:rFonts w:ascii="Arial Narrow" w:eastAsia="Times New Roman" w:hAnsi="Arial Narrow" w:cs="Times New Roman"/>
          <w:sz w:val="24"/>
          <w:szCs w:val="24"/>
          <w:lang w:eastAsia="el-GR"/>
        </w:rPr>
        <w:t xml:space="preserve"> </w:t>
      </w:r>
      <w:r w:rsidR="009B1220">
        <w:rPr>
          <w:rFonts w:ascii="Arial Narrow" w:eastAsia="Times New Roman" w:hAnsi="Arial Narrow" w:cs="Times New Roman"/>
          <w:sz w:val="24"/>
          <w:szCs w:val="24"/>
          <w:lang w:eastAsia="el-GR"/>
        </w:rPr>
        <w:t>Τα ποσοστά αυτά ήταν στις προηγούμενες μετρήσεις 42,3% (2012) και 48,6% (2013).  Η επιχειρηματική δραστηριότητα συνεισφέρει σημαντικά μόνο στο 10,1% των νοικοκυριών,</w:t>
      </w:r>
      <w:r w:rsidRPr="00F465E9">
        <w:rPr>
          <w:rFonts w:ascii="Arial Narrow" w:eastAsia="Times New Roman" w:hAnsi="Arial Narrow" w:cs="Times New Roman"/>
          <w:sz w:val="24"/>
          <w:szCs w:val="24"/>
          <w:lang w:eastAsia="el-GR"/>
        </w:rPr>
        <w:t xml:space="preserve"> εικόνα απογοητευτική για την παραγωγική δ</w:t>
      </w:r>
      <w:r w:rsidR="00AC75C5">
        <w:rPr>
          <w:rFonts w:ascii="Arial Narrow" w:eastAsia="Times New Roman" w:hAnsi="Arial Narrow" w:cs="Times New Roman"/>
          <w:sz w:val="24"/>
          <w:szCs w:val="24"/>
          <w:lang w:eastAsia="el-GR"/>
        </w:rPr>
        <w:t>υναμική και</w:t>
      </w:r>
      <w:r w:rsidRPr="00F465E9">
        <w:rPr>
          <w:rFonts w:ascii="Arial Narrow" w:eastAsia="Times New Roman" w:hAnsi="Arial Narrow" w:cs="Times New Roman"/>
          <w:sz w:val="24"/>
          <w:szCs w:val="24"/>
          <w:lang w:eastAsia="el-GR"/>
        </w:rPr>
        <w:t xml:space="preserve"> </w:t>
      </w:r>
      <w:r w:rsidR="0044702F">
        <w:rPr>
          <w:rFonts w:ascii="Arial Narrow" w:eastAsia="Times New Roman" w:hAnsi="Arial Narrow" w:cs="Times New Roman"/>
          <w:sz w:val="24"/>
          <w:szCs w:val="24"/>
          <w:lang w:eastAsia="el-GR"/>
        </w:rPr>
        <w:t xml:space="preserve">τις προοπτικές απασχόλησης </w:t>
      </w:r>
      <w:r w:rsidRPr="00F465E9">
        <w:rPr>
          <w:rFonts w:ascii="Arial Narrow" w:eastAsia="Times New Roman" w:hAnsi="Arial Narrow" w:cs="Times New Roman"/>
          <w:sz w:val="24"/>
          <w:szCs w:val="24"/>
          <w:lang w:eastAsia="el-GR"/>
        </w:rPr>
        <w:lastRenderedPageBreak/>
        <w:t>(πίνακας 2).</w:t>
      </w:r>
      <w:r w:rsidR="009B1220">
        <w:rPr>
          <w:rFonts w:ascii="Arial Narrow" w:eastAsia="Times New Roman" w:hAnsi="Arial Narrow" w:cs="Times New Roman"/>
          <w:sz w:val="24"/>
          <w:szCs w:val="24"/>
          <w:lang w:eastAsia="el-GR"/>
        </w:rPr>
        <w:t xml:space="preserve"> Η κατάσταση στα αστικά κέντρα, όπου ζει η πλειονότητα του εργατικού δυναμικού δεν είναι </w:t>
      </w:r>
      <w:r w:rsidR="00AC75C5">
        <w:rPr>
          <w:rFonts w:ascii="Arial Narrow" w:eastAsia="Times New Roman" w:hAnsi="Arial Narrow" w:cs="Times New Roman"/>
          <w:sz w:val="24"/>
          <w:szCs w:val="24"/>
          <w:lang w:eastAsia="el-GR"/>
        </w:rPr>
        <w:t xml:space="preserve">καθόλου </w:t>
      </w:r>
      <w:r w:rsidR="009B1220">
        <w:rPr>
          <w:rFonts w:ascii="Arial Narrow" w:eastAsia="Times New Roman" w:hAnsi="Arial Narrow" w:cs="Times New Roman"/>
          <w:sz w:val="24"/>
          <w:szCs w:val="24"/>
          <w:lang w:eastAsia="el-GR"/>
        </w:rPr>
        <w:t xml:space="preserve">διαφορετική. </w:t>
      </w:r>
      <w:r w:rsidR="00AC75C5">
        <w:rPr>
          <w:rFonts w:ascii="Arial Narrow" w:eastAsia="Times New Roman" w:hAnsi="Arial Narrow" w:cs="Times New Roman"/>
          <w:sz w:val="24"/>
          <w:szCs w:val="24"/>
          <w:lang w:eastAsia="el-GR"/>
        </w:rPr>
        <w:t xml:space="preserve"> Με βάση τη</w:t>
      </w:r>
      <w:r w:rsidR="007971FB">
        <w:rPr>
          <w:rFonts w:ascii="Arial Narrow" w:eastAsia="Times New Roman" w:hAnsi="Arial Narrow" w:cs="Times New Roman"/>
          <w:sz w:val="24"/>
          <w:szCs w:val="24"/>
          <w:lang w:eastAsia="el-GR"/>
        </w:rPr>
        <w:t xml:space="preserve"> συγκεκριμένη εικόνα, είναι απαραίτητη μια πολιτική που θα έχει στον πυρήνα της την έννοια του κοινωνικού μισθού (παροχή κοινωνικών αγαθών σε είδος), ώστε τα νοικοκυριά να είναι σε θέση να ανταποκριθούν στις δυσκολίες της κρίσης.</w:t>
      </w:r>
      <w:r w:rsidR="00C131BE">
        <w:rPr>
          <w:rFonts w:ascii="Arial Narrow" w:eastAsia="Times New Roman" w:hAnsi="Arial Narrow" w:cs="Times New Roman"/>
          <w:sz w:val="24"/>
          <w:szCs w:val="24"/>
          <w:lang w:eastAsia="el-GR"/>
        </w:rPr>
        <w:t xml:space="preserve"> Κάθε κυοφορούμενη νέα μείωση των συντάξεων </w:t>
      </w:r>
      <w:r w:rsidR="0046108A">
        <w:rPr>
          <w:rFonts w:ascii="Arial Narrow" w:eastAsia="Times New Roman" w:hAnsi="Arial Narrow" w:cs="Times New Roman"/>
          <w:sz w:val="24"/>
          <w:szCs w:val="24"/>
          <w:lang w:eastAsia="el-GR"/>
        </w:rPr>
        <w:t xml:space="preserve">θα ήταν καταστροφική αφού με βάση αυτά τα στοιχεία </w:t>
      </w:r>
      <w:r w:rsidR="00C131BE">
        <w:rPr>
          <w:rFonts w:ascii="Arial Narrow" w:eastAsia="Times New Roman" w:hAnsi="Arial Narrow" w:cs="Times New Roman"/>
          <w:sz w:val="24"/>
          <w:szCs w:val="24"/>
          <w:lang w:eastAsia="el-GR"/>
        </w:rPr>
        <w:t xml:space="preserve">μπορεί να </w:t>
      </w:r>
      <w:r w:rsidR="0046108A">
        <w:rPr>
          <w:rFonts w:ascii="Arial Narrow" w:eastAsia="Times New Roman" w:hAnsi="Arial Narrow" w:cs="Times New Roman"/>
          <w:sz w:val="24"/>
          <w:szCs w:val="24"/>
          <w:lang w:eastAsia="el-GR"/>
        </w:rPr>
        <w:t>πυροδοτήσει</w:t>
      </w:r>
      <w:r w:rsidR="00C131BE">
        <w:rPr>
          <w:rFonts w:ascii="Arial Narrow" w:eastAsia="Times New Roman" w:hAnsi="Arial Narrow" w:cs="Times New Roman"/>
          <w:sz w:val="24"/>
          <w:szCs w:val="24"/>
          <w:lang w:eastAsia="el-GR"/>
        </w:rPr>
        <w:t xml:space="preserve"> ένα νέο κύκλο ύφεσης. </w:t>
      </w:r>
    </w:p>
    <w:p w:rsidR="00AC2C6C" w:rsidRPr="00D34DAA" w:rsidRDefault="00D34DAA" w:rsidP="00F465E9">
      <w:pPr>
        <w:numPr>
          <w:ilvl w:val="0"/>
          <w:numId w:val="1"/>
        </w:numPr>
        <w:spacing w:after="0" w:line="240" w:lineRule="auto"/>
        <w:jc w:val="both"/>
        <w:rPr>
          <w:rFonts w:ascii="Arial Narrow" w:eastAsia="Times New Roman" w:hAnsi="Arial Narrow" w:cs="Times New Roman"/>
          <w:sz w:val="24"/>
          <w:szCs w:val="24"/>
          <w:lang w:eastAsia="el-GR"/>
        </w:rPr>
      </w:pPr>
      <w:r w:rsidRPr="00D34DAA">
        <w:rPr>
          <w:rFonts w:ascii="Arial Narrow" w:eastAsia="Times New Roman" w:hAnsi="Arial Narrow" w:cs="Times New Roman"/>
          <w:sz w:val="24"/>
          <w:szCs w:val="24"/>
          <w:lang w:eastAsia="el-GR"/>
        </w:rPr>
        <w:t>6</w:t>
      </w:r>
      <w:r w:rsidR="00AC75C5" w:rsidRPr="00D34DAA">
        <w:rPr>
          <w:rFonts w:ascii="Arial Narrow" w:eastAsia="Times New Roman" w:hAnsi="Arial Narrow" w:cs="Times New Roman"/>
          <w:sz w:val="24"/>
          <w:szCs w:val="24"/>
          <w:lang w:eastAsia="el-GR"/>
        </w:rPr>
        <w:t xml:space="preserve"> στα 10</w:t>
      </w:r>
      <w:r w:rsidR="00A609AF" w:rsidRPr="00D34DAA">
        <w:rPr>
          <w:rFonts w:ascii="Arial Narrow" w:eastAsia="Times New Roman" w:hAnsi="Arial Narrow" w:cs="Times New Roman"/>
          <w:sz w:val="24"/>
          <w:szCs w:val="24"/>
          <w:lang w:eastAsia="el-GR"/>
        </w:rPr>
        <w:t xml:space="preserve"> νοικοκυριά </w:t>
      </w:r>
      <w:r w:rsidR="00B67ADA" w:rsidRPr="00D34DAA">
        <w:rPr>
          <w:rFonts w:ascii="Arial Narrow" w:eastAsia="Times New Roman" w:hAnsi="Arial Narrow" w:cs="Times New Roman"/>
          <w:sz w:val="24"/>
          <w:szCs w:val="24"/>
          <w:lang w:eastAsia="el-GR"/>
        </w:rPr>
        <w:t>τοποθετούν την ικανότητα αξιοπρεπούς διαβίωσης σε ένα επίπεδο εισοδήματος</w:t>
      </w:r>
      <w:r w:rsidR="00AC75C5" w:rsidRPr="00D34DAA">
        <w:rPr>
          <w:rFonts w:ascii="Arial Narrow" w:eastAsia="Times New Roman" w:hAnsi="Arial Narrow" w:cs="Times New Roman"/>
          <w:sz w:val="24"/>
          <w:szCs w:val="24"/>
          <w:lang w:eastAsia="el-GR"/>
        </w:rPr>
        <w:t xml:space="preserve"> που </w:t>
      </w:r>
      <w:r w:rsidRPr="00D34DAA">
        <w:rPr>
          <w:rFonts w:ascii="Arial Narrow" w:eastAsia="Times New Roman" w:hAnsi="Arial Narrow" w:cs="Times New Roman"/>
          <w:sz w:val="24"/>
          <w:szCs w:val="24"/>
          <w:lang w:eastAsia="el-GR"/>
        </w:rPr>
        <w:t>ανέρχεται</w:t>
      </w:r>
      <w:r w:rsidR="00AC75C5" w:rsidRPr="00D34DAA">
        <w:rPr>
          <w:rFonts w:ascii="Arial Narrow" w:eastAsia="Times New Roman" w:hAnsi="Arial Narrow" w:cs="Times New Roman"/>
          <w:sz w:val="24"/>
          <w:szCs w:val="24"/>
          <w:lang w:eastAsia="el-GR"/>
        </w:rPr>
        <w:t xml:space="preserve"> τουλάχιστον </w:t>
      </w:r>
      <w:r w:rsidRPr="00D34DAA">
        <w:rPr>
          <w:rFonts w:ascii="Arial Narrow" w:eastAsia="Times New Roman" w:hAnsi="Arial Narrow" w:cs="Times New Roman"/>
          <w:sz w:val="24"/>
          <w:szCs w:val="24"/>
          <w:lang w:eastAsia="el-GR"/>
        </w:rPr>
        <w:t>σ</w:t>
      </w:r>
      <w:r w:rsidR="00AC75C5" w:rsidRPr="00D34DAA">
        <w:rPr>
          <w:rFonts w:ascii="Arial Narrow" w:eastAsia="Times New Roman" w:hAnsi="Arial Narrow" w:cs="Times New Roman"/>
          <w:sz w:val="24"/>
          <w:szCs w:val="24"/>
          <w:lang w:eastAsia="el-GR"/>
        </w:rPr>
        <w:t>τα</w:t>
      </w:r>
      <w:r w:rsidR="00B67ADA" w:rsidRPr="00D34DAA">
        <w:rPr>
          <w:rFonts w:ascii="Arial Narrow" w:eastAsia="Times New Roman" w:hAnsi="Arial Narrow" w:cs="Times New Roman"/>
          <w:sz w:val="24"/>
          <w:szCs w:val="24"/>
          <w:lang w:eastAsia="el-GR"/>
        </w:rPr>
        <w:t xml:space="preserve"> </w:t>
      </w:r>
      <w:r w:rsidR="00AC75C5" w:rsidRPr="00D34DAA">
        <w:rPr>
          <w:rFonts w:ascii="Arial Narrow" w:eastAsia="Times New Roman" w:hAnsi="Arial Narrow" w:cs="Times New Roman"/>
          <w:sz w:val="24"/>
          <w:szCs w:val="24"/>
          <w:lang w:eastAsia="el-GR"/>
        </w:rPr>
        <w:t>1000-1500 €.</w:t>
      </w:r>
    </w:p>
    <w:p w:rsidR="00AC75C5" w:rsidRPr="00AC75C5" w:rsidRDefault="00AC75C5" w:rsidP="00AC75C5">
      <w:pPr>
        <w:spacing w:after="0" w:line="240" w:lineRule="auto"/>
        <w:ind w:left="720"/>
        <w:jc w:val="both"/>
        <w:rPr>
          <w:rFonts w:ascii="Arial Narrow" w:eastAsia="Times New Roman" w:hAnsi="Arial Narrow" w:cs="Times New Roman"/>
          <w:sz w:val="24"/>
          <w:szCs w:val="24"/>
          <w:lang w:eastAsia="el-GR"/>
        </w:rPr>
      </w:pPr>
    </w:p>
    <w:p w:rsidR="003B1F9E" w:rsidRDefault="003B1F9E" w:rsidP="0044702F">
      <w:pPr>
        <w:spacing w:after="0" w:line="240" w:lineRule="auto"/>
        <w:ind w:left="720"/>
        <w:rPr>
          <w:rFonts w:ascii="Arial Narrow" w:eastAsia="Times New Roman" w:hAnsi="Arial Narrow" w:cs="Times New Roman"/>
          <w:b/>
          <w:sz w:val="24"/>
          <w:szCs w:val="24"/>
          <w:u w:val="single"/>
          <w:lang w:eastAsia="el-GR"/>
        </w:rPr>
      </w:pPr>
    </w:p>
    <w:p w:rsidR="00F465E9" w:rsidRDefault="00F465E9" w:rsidP="0044702F">
      <w:pPr>
        <w:spacing w:after="0" w:line="240" w:lineRule="auto"/>
        <w:ind w:left="720"/>
        <w:rPr>
          <w:rFonts w:ascii="Arial Narrow" w:eastAsia="Times New Roman" w:hAnsi="Arial Narrow" w:cs="Times New Roman"/>
          <w:noProof/>
          <w:sz w:val="24"/>
          <w:szCs w:val="24"/>
          <w:lang w:eastAsia="el-GR"/>
        </w:rPr>
      </w:pPr>
      <w:r w:rsidRPr="00F465E9">
        <w:rPr>
          <w:rFonts w:ascii="Arial Narrow" w:eastAsia="Times New Roman" w:hAnsi="Arial Narrow" w:cs="Times New Roman"/>
          <w:b/>
          <w:sz w:val="24"/>
          <w:szCs w:val="24"/>
          <w:u w:val="single"/>
          <w:lang w:eastAsia="el-GR"/>
        </w:rPr>
        <w:t>Πίνακας 2- Βασική πηγή εισοδήματος</w:t>
      </w:r>
    </w:p>
    <w:p w:rsidR="009C45D6" w:rsidRDefault="009C45D6" w:rsidP="00A12E38">
      <w:pPr>
        <w:spacing w:after="0" w:line="240" w:lineRule="auto"/>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drawing>
          <wp:anchor distT="0" distB="0" distL="114300" distR="114300" simplePos="0" relativeHeight="251670528" behindDoc="0" locked="0" layoutInCell="1" allowOverlap="1">
            <wp:simplePos x="0" y="0"/>
            <wp:positionH relativeFrom="column">
              <wp:posOffset>46355</wp:posOffset>
            </wp:positionH>
            <wp:positionV relativeFrom="paragraph">
              <wp:posOffset>71120</wp:posOffset>
            </wp:positionV>
            <wp:extent cx="6238875" cy="2638425"/>
            <wp:effectExtent l="0" t="0" r="0" b="0"/>
            <wp:wrapNone/>
            <wp:docPr id="13" name="Γράφημα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9C45D6" w:rsidRPr="0044702F" w:rsidRDefault="009C45D6" w:rsidP="0044702F">
      <w:pPr>
        <w:spacing w:after="0" w:line="240" w:lineRule="auto"/>
        <w:ind w:left="720"/>
        <w:rPr>
          <w:rFonts w:ascii="Arial Narrow" w:eastAsia="Times New Roman" w:hAnsi="Arial Narrow" w:cs="Times New Roman"/>
          <w:b/>
          <w:sz w:val="24"/>
          <w:szCs w:val="24"/>
          <w:u w:val="single"/>
          <w:lang w:eastAsia="el-GR"/>
        </w:rPr>
      </w:pPr>
    </w:p>
    <w:p w:rsidR="00F465E9" w:rsidRPr="00F465E9" w:rsidRDefault="00F465E9" w:rsidP="00F465E9">
      <w:pPr>
        <w:spacing w:after="0" w:line="240" w:lineRule="auto"/>
        <w:jc w:val="both"/>
        <w:rPr>
          <w:rFonts w:ascii="Times New Roman" w:eastAsia="Times New Roman" w:hAnsi="Times New Roman" w:cs="Times New Roman"/>
          <w:sz w:val="24"/>
          <w:szCs w:val="24"/>
          <w:lang w:eastAsia="el-GR"/>
        </w:rPr>
      </w:pPr>
      <w:r w:rsidRPr="00F465E9">
        <w:rPr>
          <w:rFonts w:ascii="Times New Roman" w:eastAsia="Times New Roman" w:hAnsi="Times New Roman" w:cs="Times New Roman"/>
          <w:sz w:val="24"/>
          <w:szCs w:val="24"/>
          <w:lang w:eastAsia="el-GR"/>
        </w:rPr>
        <w:tab/>
      </w:r>
      <w:r w:rsidRPr="00F465E9">
        <w:rPr>
          <w:rFonts w:ascii="Times New Roman" w:eastAsia="Times New Roman" w:hAnsi="Times New Roman" w:cs="Times New Roman"/>
          <w:sz w:val="24"/>
          <w:szCs w:val="24"/>
          <w:lang w:eastAsia="el-GR"/>
        </w:rPr>
        <w:tab/>
      </w:r>
    </w:p>
    <w:p w:rsidR="00F465E9" w:rsidRPr="00F465E9" w:rsidRDefault="00F465E9" w:rsidP="00F465E9">
      <w:pPr>
        <w:spacing w:after="0" w:line="240" w:lineRule="auto"/>
        <w:jc w:val="both"/>
        <w:rPr>
          <w:rFonts w:ascii="Times New Roman" w:eastAsia="Times New Roman" w:hAnsi="Times New Roman" w:cs="Times New Roman"/>
          <w:sz w:val="24"/>
          <w:szCs w:val="24"/>
          <w:lang w:eastAsia="el-GR"/>
        </w:rPr>
      </w:pPr>
    </w:p>
    <w:p w:rsidR="00F465E9" w:rsidRPr="00F465E9" w:rsidRDefault="00F465E9" w:rsidP="00F465E9">
      <w:pPr>
        <w:spacing w:after="0" w:line="240" w:lineRule="auto"/>
        <w:jc w:val="both"/>
        <w:rPr>
          <w:rFonts w:ascii="Times New Roman" w:eastAsia="Times New Roman" w:hAnsi="Times New Roman" w:cs="Times New Roman"/>
          <w:sz w:val="24"/>
          <w:szCs w:val="24"/>
          <w:lang w:eastAsia="el-GR"/>
        </w:rPr>
      </w:pPr>
    </w:p>
    <w:p w:rsidR="00F465E9" w:rsidRPr="00F465E9" w:rsidRDefault="00F465E9" w:rsidP="00F465E9">
      <w:pPr>
        <w:spacing w:after="0" w:line="240" w:lineRule="auto"/>
        <w:jc w:val="both"/>
        <w:rPr>
          <w:rFonts w:ascii="Times New Roman" w:eastAsia="Times New Roman" w:hAnsi="Times New Roman" w:cs="Times New Roman"/>
          <w:sz w:val="24"/>
          <w:szCs w:val="24"/>
          <w:lang w:eastAsia="el-GR"/>
        </w:rPr>
      </w:pPr>
    </w:p>
    <w:p w:rsidR="00F465E9" w:rsidRPr="00F465E9" w:rsidRDefault="00F465E9" w:rsidP="00F465E9">
      <w:pPr>
        <w:spacing w:after="0" w:line="240" w:lineRule="auto"/>
        <w:jc w:val="both"/>
        <w:rPr>
          <w:rFonts w:ascii="Times New Roman" w:eastAsia="Times New Roman" w:hAnsi="Times New Roman" w:cs="Times New Roman"/>
          <w:sz w:val="24"/>
          <w:szCs w:val="24"/>
          <w:lang w:eastAsia="el-GR"/>
        </w:rPr>
      </w:pPr>
    </w:p>
    <w:p w:rsidR="00F465E9" w:rsidRPr="00F465E9" w:rsidRDefault="00F465E9" w:rsidP="00F465E9">
      <w:pPr>
        <w:spacing w:after="0" w:line="240" w:lineRule="auto"/>
        <w:jc w:val="both"/>
        <w:rPr>
          <w:rFonts w:ascii="Times New Roman" w:eastAsia="Times New Roman" w:hAnsi="Times New Roman" w:cs="Times New Roman"/>
          <w:sz w:val="24"/>
          <w:szCs w:val="24"/>
          <w:lang w:eastAsia="el-GR"/>
        </w:rPr>
      </w:pPr>
    </w:p>
    <w:p w:rsidR="00F465E9" w:rsidRPr="00F465E9" w:rsidRDefault="00F465E9" w:rsidP="00F465E9">
      <w:pPr>
        <w:spacing w:after="0" w:line="240" w:lineRule="auto"/>
        <w:ind w:left="720"/>
        <w:jc w:val="both"/>
        <w:rPr>
          <w:rFonts w:ascii="Arial Narrow" w:eastAsia="Times New Roman" w:hAnsi="Arial Narrow" w:cs="Times New Roman"/>
          <w:b/>
          <w:sz w:val="24"/>
          <w:szCs w:val="24"/>
          <w:u w:val="single"/>
          <w:lang w:eastAsia="el-GR"/>
        </w:rPr>
      </w:pPr>
    </w:p>
    <w:p w:rsidR="00F465E9" w:rsidRPr="00F465E9" w:rsidRDefault="00F465E9" w:rsidP="00F465E9">
      <w:pPr>
        <w:spacing w:after="0" w:line="240" w:lineRule="auto"/>
        <w:ind w:left="720"/>
        <w:jc w:val="both"/>
        <w:rPr>
          <w:rFonts w:ascii="Arial Narrow" w:eastAsia="Times New Roman" w:hAnsi="Arial Narrow" w:cs="Times New Roman"/>
          <w:b/>
          <w:sz w:val="24"/>
          <w:szCs w:val="24"/>
          <w:u w:val="single"/>
          <w:lang w:eastAsia="el-GR"/>
        </w:rPr>
      </w:pPr>
    </w:p>
    <w:p w:rsidR="00F465E9" w:rsidRPr="00F465E9" w:rsidRDefault="00F465E9" w:rsidP="00F465E9">
      <w:pPr>
        <w:spacing w:after="0" w:line="240" w:lineRule="auto"/>
        <w:ind w:left="720"/>
        <w:jc w:val="both"/>
        <w:rPr>
          <w:rFonts w:ascii="Arial Narrow" w:eastAsia="Times New Roman" w:hAnsi="Arial Narrow" w:cs="Times New Roman"/>
          <w:b/>
          <w:sz w:val="24"/>
          <w:szCs w:val="24"/>
          <w:u w:val="single"/>
          <w:lang w:eastAsia="el-GR"/>
        </w:rPr>
      </w:pPr>
    </w:p>
    <w:p w:rsidR="00F465E9" w:rsidRPr="00F465E9" w:rsidRDefault="00F465E9" w:rsidP="00F465E9">
      <w:pPr>
        <w:spacing w:after="0" w:line="240" w:lineRule="auto"/>
        <w:ind w:left="720"/>
        <w:jc w:val="both"/>
        <w:rPr>
          <w:rFonts w:ascii="Arial Narrow" w:eastAsia="Times New Roman" w:hAnsi="Arial Narrow" w:cs="Times New Roman"/>
          <w:b/>
          <w:sz w:val="24"/>
          <w:szCs w:val="24"/>
          <w:u w:val="single"/>
          <w:lang w:eastAsia="el-GR"/>
        </w:rPr>
      </w:pPr>
    </w:p>
    <w:p w:rsidR="00F465E9" w:rsidRPr="00F465E9" w:rsidRDefault="00F465E9" w:rsidP="00F465E9">
      <w:pPr>
        <w:spacing w:after="0" w:line="240" w:lineRule="auto"/>
        <w:ind w:left="720"/>
        <w:jc w:val="both"/>
        <w:rPr>
          <w:rFonts w:ascii="Arial Narrow" w:eastAsia="Times New Roman" w:hAnsi="Arial Narrow" w:cs="Times New Roman"/>
          <w:b/>
          <w:sz w:val="24"/>
          <w:szCs w:val="24"/>
          <w:u w:val="single"/>
          <w:lang w:eastAsia="el-GR"/>
        </w:rPr>
      </w:pPr>
    </w:p>
    <w:p w:rsidR="00F465E9" w:rsidRPr="00F465E9" w:rsidRDefault="00F465E9" w:rsidP="00116713">
      <w:pPr>
        <w:spacing w:after="0" w:line="240" w:lineRule="auto"/>
        <w:jc w:val="both"/>
        <w:rPr>
          <w:rFonts w:ascii="Arial Narrow" w:eastAsia="Times New Roman" w:hAnsi="Arial Narrow" w:cs="Times New Roman"/>
          <w:b/>
          <w:sz w:val="24"/>
          <w:szCs w:val="24"/>
          <w:u w:val="single"/>
          <w:lang w:eastAsia="el-GR"/>
        </w:rPr>
      </w:pPr>
    </w:p>
    <w:p w:rsidR="00AC75C5" w:rsidRDefault="00AC75C5" w:rsidP="00F465E9">
      <w:pPr>
        <w:spacing w:after="0" w:line="240" w:lineRule="auto"/>
        <w:jc w:val="both"/>
        <w:rPr>
          <w:rFonts w:ascii="Arial Narrow" w:eastAsia="Times New Roman" w:hAnsi="Arial Narrow" w:cs="Times New Roman"/>
          <w:b/>
          <w:sz w:val="24"/>
          <w:szCs w:val="24"/>
          <w:u w:val="single"/>
          <w:lang w:eastAsia="el-GR"/>
        </w:rPr>
      </w:pPr>
    </w:p>
    <w:p w:rsidR="00F465E9" w:rsidRDefault="00F465E9" w:rsidP="00F465E9">
      <w:pPr>
        <w:spacing w:after="0" w:line="240" w:lineRule="auto"/>
        <w:jc w:val="both"/>
        <w:rPr>
          <w:rFonts w:ascii="Arial Narrow" w:eastAsia="Times New Roman" w:hAnsi="Arial Narrow" w:cs="Times New Roman"/>
          <w:b/>
          <w:sz w:val="24"/>
          <w:szCs w:val="24"/>
          <w:u w:val="single"/>
          <w:lang w:eastAsia="el-GR"/>
        </w:rPr>
      </w:pPr>
      <w:r w:rsidRPr="00F465E9">
        <w:rPr>
          <w:rFonts w:ascii="Arial Narrow" w:eastAsia="Times New Roman" w:hAnsi="Arial Narrow" w:cs="Times New Roman"/>
          <w:b/>
          <w:sz w:val="24"/>
          <w:szCs w:val="24"/>
          <w:u w:val="single"/>
          <w:lang w:eastAsia="el-GR"/>
        </w:rPr>
        <w:t>ΟΙΚΟΝΟΜΙΚΕΣ Υ</w:t>
      </w:r>
      <w:r w:rsidR="00861231">
        <w:rPr>
          <w:rFonts w:ascii="Arial Narrow" w:eastAsia="Times New Roman" w:hAnsi="Arial Narrow" w:cs="Times New Roman"/>
          <w:b/>
          <w:sz w:val="24"/>
          <w:szCs w:val="24"/>
          <w:u w:val="single"/>
          <w:lang w:eastAsia="el-GR"/>
        </w:rPr>
        <w:t>ΠΟΧΡΕΩΣΕΙΣ ΝΟΙΚΟΚΥΡΙΩΝ</w:t>
      </w:r>
    </w:p>
    <w:p w:rsidR="00B16610" w:rsidRPr="00F465E9" w:rsidRDefault="00B16610" w:rsidP="00F465E9">
      <w:pPr>
        <w:spacing w:after="0" w:line="240" w:lineRule="auto"/>
        <w:jc w:val="both"/>
        <w:rPr>
          <w:rFonts w:ascii="Arial Narrow" w:eastAsia="Times New Roman" w:hAnsi="Arial Narrow" w:cs="Times New Roman"/>
          <w:b/>
          <w:sz w:val="24"/>
          <w:szCs w:val="24"/>
          <w:u w:val="single"/>
          <w:lang w:eastAsia="el-GR"/>
        </w:rPr>
      </w:pPr>
    </w:p>
    <w:p w:rsidR="00F465E9" w:rsidRDefault="00F465E9" w:rsidP="00F465E9">
      <w:pPr>
        <w:numPr>
          <w:ilvl w:val="0"/>
          <w:numId w:val="1"/>
        </w:numPr>
        <w:spacing w:after="0" w:line="240" w:lineRule="auto"/>
        <w:jc w:val="both"/>
        <w:rPr>
          <w:rFonts w:ascii="Arial Narrow" w:eastAsia="Times New Roman" w:hAnsi="Arial Narrow" w:cs="Times New Roman"/>
          <w:sz w:val="24"/>
          <w:szCs w:val="24"/>
          <w:lang w:eastAsia="el-GR"/>
        </w:rPr>
      </w:pPr>
      <w:r w:rsidRPr="00F465E9">
        <w:rPr>
          <w:rFonts w:ascii="Arial Narrow" w:eastAsia="Times New Roman" w:hAnsi="Arial Narrow" w:cs="Times New Roman"/>
          <w:sz w:val="24"/>
          <w:szCs w:val="24"/>
          <w:lang w:eastAsia="el-GR"/>
        </w:rPr>
        <w:t>Η συσσώρευση των οικονομικών υποχρεώσε</w:t>
      </w:r>
      <w:r w:rsidR="00C17E43">
        <w:rPr>
          <w:rFonts w:ascii="Arial Narrow" w:eastAsia="Times New Roman" w:hAnsi="Arial Narrow" w:cs="Times New Roman"/>
          <w:sz w:val="24"/>
          <w:szCs w:val="24"/>
          <w:lang w:eastAsia="el-GR"/>
        </w:rPr>
        <w:t>ων των νοικοκυριών μέσα στο 2014</w:t>
      </w:r>
      <w:r w:rsidRPr="00F465E9">
        <w:rPr>
          <w:rFonts w:ascii="Arial Narrow" w:eastAsia="Times New Roman" w:hAnsi="Arial Narrow" w:cs="Times New Roman"/>
          <w:sz w:val="24"/>
          <w:szCs w:val="24"/>
          <w:lang w:eastAsia="el-GR"/>
        </w:rPr>
        <w:t xml:space="preserve"> </w:t>
      </w:r>
      <w:r w:rsidR="00C17E43">
        <w:rPr>
          <w:rFonts w:ascii="Arial Narrow" w:eastAsia="Times New Roman" w:hAnsi="Arial Narrow" w:cs="Times New Roman"/>
          <w:sz w:val="24"/>
          <w:szCs w:val="24"/>
          <w:lang w:eastAsia="el-GR"/>
        </w:rPr>
        <w:t>συνεχίστηκε</w:t>
      </w:r>
      <w:r w:rsidRPr="00F465E9">
        <w:rPr>
          <w:rFonts w:ascii="Arial Narrow" w:eastAsia="Times New Roman" w:hAnsi="Arial Narrow" w:cs="Times New Roman"/>
          <w:sz w:val="24"/>
          <w:szCs w:val="24"/>
          <w:lang w:eastAsia="el-GR"/>
        </w:rPr>
        <w:t xml:space="preserve">. </w:t>
      </w:r>
      <w:r w:rsidR="00C17E43">
        <w:rPr>
          <w:rFonts w:ascii="Arial Narrow" w:eastAsia="Times New Roman" w:hAnsi="Arial Narrow" w:cs="Times New Roman"/>
          <w:sz w:val="24"/>
          <w:szCs w:val="24"/>
          <w:lang w:eastAsia="el-GR"/>
        </w:rPr>
        <w:t xml:space="preserve">Περισσότερα από </w:t>
      </w:r>
      <w:r w:rsidR="002B4488">
        <w:rPr>
          <w:rFonts w:ascii="Arial Narrow" w:eastAsia="Times New Roman" w:hAnsi="Arial Narrow" w:cs="Times New Roman"/>
          <w:sz w:val="24"/>
          <w:szCs w:val="24"/>
          <w:lang w:eastAsia="el-GR"/>
        </w:rPr>
        <w:t>1 στα 3 νοικοκυριά βρίσκον</w:t>
      </w:r>
      <w:r w:rsidRPr="00F465E9">
        <w:rPr>
          <w:rFonts w:ascii="Arial Narrow" w:eastAsia="Times New Roman" w:hAnsi="Arial Narrow" w:cs="Times New Roman"/>
          <w:sz w:val="24"/>
          <w:szCs w:val="24"/>
          <w:lang w:eastAsia="el-GR"/>
        </w:rPr>
        <w:t>ται στο όριο καθυστέρησης πληρωμών προς το δημόσιο, ταμεία Δ.Ε.Κ.Ο., τράπεζες, δάν</w:t>
      </w:r>
      <w:r w:rsidR="00C17E43">
        <w:rPr>
          <w:rFonts w:ascii="Arial Narrow" w:eastAsia="Times New Roman" w:hAnsi="Arial Narrow" w:cs="Times New Roman"/>
          <w:sz w:val="24"/>
          <w:szCs w:val="24"/>
          <w:lang w:eastAsia="el-GR"/>
        </w:rPr>
        <w:t xml:space="preserve">εια </w:t>
      </w:r>
      <w:proofErr w:type="spellStart"/>
      <w:r w:rsidR="00C17E43">
        <w:rPr>
          <w:rFonts w:ascii="Arial Narrow" w:eastAsia="Times New Roman" w:hAnsi="Arial Narrow" w:cs="Times New Roman"/>
          <w:sz w:val="24"/>
          <w:szCs w:val="24"/>
          <w:lang w:eastAsia="el-GR"/>
        </w:rPr>
        <w:t>κ.λ.π</w:t>
      </w:r>
      <w:proofErr w:type="spellEnd"/>
      <w:r w:rsidR="00C17E43">
        <w:rPr>
          <w:rFonts w:ascii="Arial Narrow" w:eastAsia="Times New Roman" w:hAnsi="Arial Narrow" w:cs="Times New Roman"/>
          <w:sz w:val="24"/>
          <w:szCs w:val="24"/>
          <w:lang w:eastAsia="el-GR"/>
        </w:rPr>
        <w:t>, λόγω αδυναμίας  (35</w:t>
      </w:r>
      <w:r w:rsidRPr="00F465E9">
        <w:rPr>
          <w:rFonts w:ascii="Arial Narrow" w:eastAsia="Times New Roman" w:hAnsi="Arial Narrow" w:cs="Times New Roman"/>
          <w:sz w:val="24"/>
          <w:szCs w:val="24"/>
          <w:lang w:eastAsia="el-GR"/>
        </w:rPr>
        <w:t xml:space="preserve">,8% -Πίνακας 3). </w:t>
      </w:r>
      <w:r w:rsidR="00B16610">
        <w:rPr>
          <w:rFonts w:ascii="Arial Narrow" w:eastAsia="Times New Roman" w:hAnsi="Arial Narrow" w:cs="Times New Roman"/>
          <w:sz w:val="24"/>
          <w:szCs w:val="24"/>
          <w:lang w:eastAsia="el-GR"/>
        </w:rPr>
        <w:t>Ιδιαίτερα εκτεθειμένα στην παγίδα ιδιωτικού χρέους είναι τ</w:t>
      </w:r>
      <w:r w:rsidR="00C17E43">
        <w:rPr>
          <w:rFonts w:ascii="Arial Narrow" w:eastAsia="Times New Roman" w:hAnsi="Arial Narrow" w:cs="Times New Roman"/>
          <w:sz w:val="24"/>
          <w:szCs w:val="24"/>
          <w:lang w:eastAsia="el-GR"/>
        </w:rPr>
        <w:t>α πολυμελή νοικοκυριά</w:t>
      </w:r>
      <w:r w:rsidR="00B16610">
        <w:rPr>
          <w:rFonts w:ascii="Arial Narrow" w:eastAsia="Times New Roman" w:hAnsi="Arial Narrow" w:cs="Times New Roman"/>
          <w:sz w:val="24"/>
          <w:szCs w:val="24"/>
          <w:lang w:eastAsia="el-GR"/>
        </w:rPr>
        <w:t xml:space="preserve"> (45,7%)</w:t>
      </w:r>
      <w:r w:rsidR="00C17E43">
        <w:rPr>
          <w:rFonts w:ascii="Arial Narrow" w:eastAsia="Times New Roman" w:hAnsi="Arial Narrow" w:cs="Times New Roman"/>
          <w:sz w:val="24"/>
          <w:szCs w:val="24"/>
          <w:lang w:eastAsia="el-GR"/>
        </w:rPr>
        <w:t xml:space="preserve"> και τα χαμηλότερα εισοδηματικά κλιμάκια</w:t>
      </w:r>
      <w:r w:rsidR="00B16610">
        <w:rPr>
          <w:rFonts w:ascii="Arial Narrow" w:eastAsia="Times New Roman" w:hAnsi="Arial Narrow" w:cs="Times New Roman"/>
          <w:sz w:val="24"/>
          <w:szCs w:val="24"/>
          <w:lang w:eastAsia="el-GR"/>
        </w:rPr>
        <w:t xml:space="preserve"> (47,2%)</w:t>
      </w:r>
      <w:r w:rsidR="00C17E43">
        <w:rPr>
          <w:rFonts w:ascii="Arial Narrow" w:eastAsia="Times New Roman" w:hAnsi="Arial Narrow" w:cs="Times New Roman"/>
          <w:sz w:val="24"/>
          <w:szCs w:val="24"/>
          <w:lang w:eastAsia="el-GR"/>
        </w:rPr>
        <w:t xml:space="preserve">. </w:t>
      </w:r>
    </w:p>
    <w:p w:rsidR="004361FB" w:rsidRPr="00A609AF" w:rsidRDefault="000605C6" w:rsidP="00A609AF">
      <w:pPr>
        <w:numPr>
          <w:ilvl w:val="0"/>
          <w:numId w:val="1"/>
        </w:numPr>
        <w:spacing w:after="0" w:line="240" w:lineRule="auto"/>
        <w:jc w:val="both"/>
        <w:rPr>
          <w:rFonts w:ascii="Arial Narrow" w:eastAsia="Times New Roman" w:hAnsi="Arial Narrow" w:cs="Times New Roman"/>
          <w:sz w:val="24"/>
          <w:szCs w:val="24"/>
          <w:lang w:eastAsia="el-GR"/>
        </w:rPr>
      </w:pPr>
      <w:r>
        <w:rPr>
          <w:rFonts w:ascii="Arial Narrow" w:eastAsia="Times New Roman" w:hAnsi="Arial Narrow" w:cs="Times New Roman"/>
          <w:sz w:val="24"/>
          <w:szCs w:val="24"/>
          <w:lang w:eastAsia="el-GR"/>
        </w:rPr>
        <w:t xml:space="preserve">Συνολικά το 27,6% των νοικοκυριών έχει οφειλές προς την εφορία, εκ των οποίων </w:t>
      </w:r>
      <w:r w:rsidR="00B16610">
        <w:rPr>
          <w:rFonts w:ascii="Arial Narrow" w:eastAsia="Times New Roman" w:hAnsi="Arial Narrow" w:cs="Times New Roman"/>
          <w:sz w:val="24"/>
          <w:szCs w:val="24"/>
          <w:lang w:eastAsia="el-GR"/>
        </w:rPr>
        <w:t xml:space="preserve">μόνο </w:t>
      </w:r>
      <w:r>
        <w:rPr>
          <w:rFonts w:ascii="Arial Narrow" w:eastAsia="Times New Roman" w:hAnsi="Arial Narrow" w:cs="Times New Roman"/>
          <w:sz w:val="24"/>
          <w:szCs w:val="24"/>
          <w:lang w:eastAsia="el-GR"/>
        </w:rPr>
        <w:t>το ¼ έχει κάνει αίτηση</w:t>
      </w:r>
      <w:r w:rsidR="00B16610">
        <w:rPr>
          <w:rFonts w:ascii="Arial Narrow" w:eastAsia="Times New Roman" w:hAnsi="Arial Narrow" w:cs="Times New Roman"/>
          <w:sz w:val="24"/>
          <w:szCs w:val="24"/>
          <w:lang w:eastAsia="el-GR"/>
        </w:rPr>
        <w:t xml:space="preserve"> για υπαγωγή στις 72-100 δόσεις. </w:t>
      </w:r>
      <w:r w:rsidR="0085202D">
        <w:rPr>
          <w:rFonts w:ascii="Arial Narrow" w:eastAsia="Times New Roman" w:hAnsi="Arial Narrow" w:cs="Times New Roman"/>
          <w:sz w:val="24"/>
          <w:szCs w:val="24"/>
          <w:lang w:eastAsia="el-GR"/>
        </w:rPr>
        <w:t xml:space="preserve"> Αντίστοιχα, ασφαλιστικές εισφορές δηλώνει ότι οφείλει το 13,2%, εκ των οποίων </w:t>
      </w:r>
      <w:r w:rsidR="00B16610">
        <w:rPr>
          <w:rFonts w:ascii="Arial Narrow" w:eastAsia="Times New Roman" w:hAnsi="Arial Narrow" w:cs="Times New Roman"/>
          <w:sz w:val="24"/>
          <w:szCs w:val="24"/>
          <w:lang w:eastAsia="el-GR"/>
        </w:rPr>
        <w:t>μόνο</w:t>
      </w:r>
      <w:r w:rsidR="0085202D">
        <w:rPr>
          <w:rFonts w:ascii="Arial Narrow" w:eastAsia="Times New Roman" w:hAnsi="Arial Narrow" w:cs="Times New Roman"/>
          <w:sz w:val="24"/>
          <w:szCs w:val="24"/>
          <w:lang w:eastAsia="el-GR"/>
        </w:rPr>
        <w:t xml:space="preserve"> ¼ έχουν κάνει αίτηση υπαγωγής στις </w:t>
      </w:r>
      <w:r w:rsidR="00B16610">
        <w:rPr>
          <w:rFonts w:ascii="Arial Narrow" w:eastAsia="Times New Roman" w:hAnsi="Arial Narrow" w:cs="Times New Roman"/>
          <w:sz w:val="24"/>
          <w:szCs w:val="24"/>
          <w:lang w:eastAsia="el-GR"/>
        </w:rPr>
        <w:t xml:space="preserve">72-100 δόσεις. </w:t>
      </w:r>
      <w:r w:rsidRPr="0085202D">
        <w:rPr>
          <w:rFonts w:ascii="Arial Narrow" w:eastAsia="Times New Roman" w:hAnsi="Arial Narrow" w:cs="Times New Roman"/>
          <w:sz w:val="24"/>
          <w:szCs w:val="24"/>
          <w:lang w:eastAsia="el-GR"/>
        </w:rPr>
        <w:t>Παρά την αρχική αισιοδοξία</w:t>
      </w:r>
      <w:r w:rsidR="00B16610">
        <w:rPr>
          <w:rFonts w:ascii="Arial Narrow" w:eastAsia="Times New Roman" w:hAnsi="Arial Narrow" w:cs="Times New Roman"/>
          <w:sz w:val="24"/>
          <w:szCs w:val="24"/>
          <w:lang w:eastAsia="el-GR"/>
        </w:rPr>
        <w:t>, είναι προ</w:t>
      </w:r>
      <w:r w:rsidRPr="0085202D">
        <w:rPr>
          <w:rFonts w:ascii="Arial Narrow" w:eastAsia="Times New Roman" w:hAnsi="Arial Narrow" w:cs="Times New Roman"/>
          <w:sz w:val="24"/>
          <w:szCs w:val="24"/>
          <w:lang w:eastAsia="el-GR"/>
        </w:rPr>
        <w:t xml:space="preserve">φανές ότι </w:t>
      </w:r>
      <w:r w:rsidR="00B16610">
        <w:rPr>
          <w:rFonts w:ascii="Arial Narrow" w:eastAsia="Times New Roman" w:hAnsi="Arial Narrow" w:cs="Times New Roman"/>
          <w:sz w:val="24"/>
          <w:szCs w:val="24"/>
          <w:lang w:eastAsia="el-GR"/>
        </w:rPr>
        <w:t>η</w:t>
      </w:r>
      <w:r w:rsidR="00B16610" w:rsidRPr="0085202D">
        <w:rPr>
          <w:rFonts w:ascii="Arial Narrow" w:eastAsia="Times New Roman" w:hAnsi="Arial Narrow" w:cs="Times New Roman"/>
          <w:sz w:val="24"/>
          <w:szCs w:val="24"/>
          <w:lang w:eastAsia="el-GR"/>
        </w:rPr>
        <w:t xml:space="preserve"> εισαγωγή του μέ</w:t>
      </w:r>
      <w:r w:rsidR="00B16610">
        <w:rPr>
          <w:rFonts w:ascii="Arial Narrow" w:eastAsia="Times New Roman" w:hAnsi="Arial Narrow" w:cs="Times New Roman"/>
          <w:sz w:val="24"/>
          <w:szCs w:val="24"/>
          <w:lang w:eastAsia="el-GR"/>
        </w:rPr>
        <w:t>τρου των 72-100 δόσεων δεν έφερε τα αναμενόμενα αποτελέσματα.</w:t>
      </w:r>
    </w:p>
    <w:p w:rsidR="004361FB" w:rsidRPr="004361FB" w:rsidRDefault="002B4488" w:rsidP="004361FB">
      <w:pPr>
        <w:numPr>
          <w:ilvl w:val="0"/>
          <w:numId w:val="1"/>
        </w:numPr>
        <w:spacing w:after="0" w:line="240" w:lineRule="auto"/>
        <w:jc w:val="both"/>
        <w:rPr>
          <w:rFonts w:ascii="Arial Narrow" w:eastAsia="Times New Roman" w:hAnsi="Arial Narrow" w:cs="Times New Roman"/>
          <w:sz w:val="24"/>
          <w:szCs w:val="24"/>
          <w:lang w:eastAsia="el-GR"/>
        </w:rPr>
      </w:pPr>
      <w:r>
        <w:rPr>
          <w:rFonts w:ascii="Arial Narrow" w:eastAsia="Times New Roman" w:hAnsi="Arial Narrow" w:cs="Times New Roman"/>
          <w:sz w:val="24"/>
          <w:szCs w:val="24"/>
          <w:lang w:eastAsia="el-GR"/>
        </w:rPr>
        <w:t xml:space="preserve">Το </w:t>
      </w:r>
      <w:r w:rsidR="0085202D">
        <w:rPr>
          <w:rFonts w:ascii="Arial Narrow" w:eastAsia="Times New Roman" w:hAnsi="Arial Narrow" w:cs="Times New Roman"/>
          <w:sz w:val="24"/>
          <w:szCs w:val="24"/>
          <w:lang w:eastAsia="el-GR"/>
        </w:rPr>
        <w:t>38,4%</w:t>
      </w:r>
      <w:r w:rsidR="00F465E9" w:rsidRPr="00F465E9">
        <w:rPr>
          <w:rFonts w:ascii="Arial Narrow" w:eastAsia="Times New Roman" w:hAnsi="Arial Narrow" w:cs="Times New Roman"/>
          <w:sz w:val="24"/>
          <w:szCs w:val="24"/>
          <w:lang w:eastAsia="el-GR"/>
        </w:rPr>
        <w:t xml:space="preserve"> του πληθυσμού έχει οικονομικές υποχρεώσεις προς τις τράπεζες. </w:t>
      </w:r>
      <w:r w:rsidR="0085202D">
        <w:rPr>
          <w:rFonts w:ascii="Arial Narrow" w:eastAsia="Times New Roman" w:hAnsi="Arial Narrow" w:cs="Times New Roman"/>
          <w:sz w:val="24"/>
          <w:szCs w:val="24"/>
          <w:lang w:eastAsia="el-GR"/>
        </w:rPr>
        <w:t>Η μεγαλύτερη έκθεση στον τραπεζικό δανεισμό παρουσιάζεται στο νομό Αττικής (43,7%). Το 38,3% όσων χρωστούν</w:t>
      </w:r>
      <w:r w:rsidR="00116713">
        <w:rPr>
          <w:rFonts w:ascii="Arial Narrow" w:eastAsia="Times New Roman" w:hAnsi="Arial Narrow" w:cs="Times New Roman"/>
          <w:sz w:val="24"/>
          <w:szCs w:val="24"/>
          <w:lang w:eastAsia="el-GR"/>
        </w:rPr>
        <w:t xml:space="preserve"> έχουν προχωρήσει σε ρύθμιση των οφειλών.</w:t>
      </w:r>
    </w:p>
    <w:p w:rsidR="002B4488" w:rsidRPr="00821F0B" w:rsidRDefault="002B4488" w:rsidP="00821F0B">
      <w:pPr>
        <w:numPr>
          <w:ilvl w:val="0"/>
          <w:numId w:val="1"/>
        </w:numPr>
        <w:spacing w:after="0" w:line="240" w:lineRule="auto"/>
        <w:jc w:val="both"/>
        <w:rPr>
          <w:rFonts w:ascii="Arial Narrow" w:eastAsia="Times New Roman" w:hAnsi="Arial Narrow" w:cs="Times New Roman"/>
          <w:sz w:val="24"/>
          <w:szCs w:val="24"/>
          <w:lang w:eastAsia="el-GR"/>
        </w:rPr>
      </w:pPr>
      <w:r w:rsidRPr="00B16610">
        <w:rPr>
          <w:rFonts w:ascii="Arial Narrow" w:eastAsia="Times New Roman" w:hAnsi="Arial Narrow" w:cs="Times New Roman"/>
          <w:sz w:val="24"/>
          <w:szCs w:val="24"/>
          <w:lang w:eastAsia="el-GR"/>
        </w:rPr>
        <w:t>Σημαντική αύξηση, παρ</w:t>
      </w:r>
      <w:r w:rsidR="0085202D" w:rsidRPr="00B16610">
        <w:rPr>
          <w:rFonts w:ascii="Arial Narrow" w:eastAsia="Times New Roman" w:hAnsi="Arial Narrow" w:cs="Times New Roman"/>
          <w:sz w:val="24"/>
          <w:szCs w:val="24"/>
          <w:lang w:eastAsia="el-GR"/>
        </w:rPr>
        <w:t>ά τη</w:t>
      </w:r>
      <w:r w:rsidRPr="00B16610">
        <w:rPr>
          <w:rFonts w:ascii="Arial Narrow" w:eastAsia="Times New Roman" w:hAnsi="Arial Narrow" w:cs="Times New Roman"/>
          <w:sz w:val="24"/>
          <w:szCs w:val="24"/>
          <w:lang w:eastAsia="el-GR"/>
        </w:rPr>
        <w:t xml:space="preserve"> μείωση της συνολικής πιστωτικής επέκτασης, σημείωσε η χρήση του πλαστικού χρήματος για την κάλυψη των υποχρεώσεων του νοικοκυριού (η χρήση πιστωτικής κάρτας </w:t>
      </w:r>
      <w:r w:rsidR="00B16610" w:rsidRPr="00B16610">
        <w:rPr>
          <w:rFonts w:ascii="Arial Narrow" w:eastAsia="Times New Roman" w:hAnsi="Arial Narrow" w:cs="Times New Roman"/>
          <w:sz w:val="24"/>
          <w:szCs w:val="24"/>
          <w:lang w:eastAsia="el-GR"/>
        </w:rPr>
        <w:t>αυξ</w:t>
      </w:r>
      <w:r w:rsidR="00B16610">
        <w:rPr>
          <w:rFonts w:ascii="Arial Narrow" w:eastAsia="Times New Roman" w:hAnsi="Arial Narrow" w:cs="Times New Roman"/>
          <w:sz w:val="24"/>
          <w:szCs w:val="24"/>
          <w:lang w:eastAsia="el-GR"/>
        </w:rPr>
        <w:t>ήθηκ</w:t>
      </w:r>
      <w:r w:rsidR="00B16610" w:rsidRPr="00B16610">
        <w:rPr>
          <w:rFonts w:ascii="Arial Narrow" w:eastAsia="Times New Roman" w:hAnsi="Arial Narrow" w:cs="Times New Roman"/>
          <w:sz w:val="24"/>
          <w:szCs w:val="24"/>
          <w:lang w:eastAsia="el-GR"/>
        </w:rPr>
        <w:t xml:space="preserve">ε </w:t>
      </w:r>
      <w:r w:rsidRPr="00B16610">
        <w:rPr>
          <w:rFonts w:ascii="Arial Narrow" w:eastAsia="Times New Roman" w:hAnsi="Arial Narrow" w:cs="Times New Roman"/>
          <w:sz w:val="24"/>
          <w:szCs w:val="24"/>
          <w:lang w:eastAsia="el-GR"/>
        </w:rPr>
        <w:t xml:space="preserve"> από 15,8% το 2012  στο 25,4% το 2014).</w:t>
      </w:r>
      <w:r w:rsidRPr="0085202D">
        <w:rPr>
          <w:rFonts w:ascii="Arial Narrow" w:eastAsia="Times New Roman" w:hAnsi="Arial Narrow" w:cs="Times New Roman"/>
          <w:b/>
          <w:sz w:val="24"/>
          <w:szCs w:val="24"/>
          <w:lang w:eastAsia="el-GR"/>
        </w:rPr>
        <w:t xml:space="preserve"> </w:t>
      </w:r>
      <w:r w:rsidR="00B16610">
        <w:rPr>
          <w:rFonts w:ascii="Arial Narrow" w:eastAsia="Times New Roman" w:hAnsi="Arial Narrow" w:cs="Times New Roman"/>
          <w:b/>
          <w:sz w:val="24"/>
          <w:szCs w:val="24"/>
          <w:lang w:eastAsia="el-GR"/>
        </w:rPr>
        <w:t>Αυτό</w:t>
      </w:r>
      <w:r w:rsidRPr="0085202D">
        <w:rPr>
          <w:rFonts w:ascii="Arial Narrow" w:eastAsia="Times New Roman" w:hAnsi="Arial Narrow" w:cs="Times New Roman"/>
          <w:b/>
          <w:sz w:val="24"/>
          <w:szCs w:val="24"/>
          <w:lang w:eastAsia="el-GR"/>
        </w:rPr>
        <w:t xml:space="preserve"> σημαίνει ότι υπάρχει μια πραγματική ανάγκη των νοικοκυριών </w:t>
      </w:r>
      <w:r w:rsidR="00B16610">
        <w:rPr>
          <w:rFonts w:ascii="Arial Narrow" w:eastAsia="Times New Roman" w:hAnsi="Arial Narrow" w:cs="Times New Roman"/>
          <w:b/>
          <w:sz w:val="24"/>
          <w:szCs w:val="24"/>
          <w:lang w:eastAsia="el-GR"/>
        </w:rPr>
        <w:t>να μεταθέτουν σημαντικό μέρος των χρεών</w:t>
      </w:r>
      <w:r w:rsidRPr="0085202D">
        <w:rPr>
          <w:rFonts w:ascii="Arial Narrow" w:eastAsia="Times New Roman" w:hAnsi="Arial Narrow" w:cs="Times New Roman"/>
          <w:b/>
          <w:sz w:val="24"/>
          <w:szCs w:val="24"/>
          <w:lang w:eastAsia="el-GR"/>
        </w:rPr>
        <w:t xml:space="preserve"> στο μέλλον, καθώς οι πολλές οικονομικές υποχρεώσεις δεν μπορούν να καλυφθούν με τα διαθέσιμα εισοδήματα. Τούτο </w:t>
      </w:r>
      <w:r w:rsidR="00B16610">
        <w:rPr>
          <w:rFonts w:ascii="Arial Narrow" w:eastAsia="Times New Roman" w:hAnsi="Arial Narrow" w:cs="Times New Roman"/>
          <w:b/>
          <w:sz w:val="24"/>
          <w:szCs w:val="24"/>
          <w:lang w:eastAsia="el-GR"/>
        </w:rPr>
        <w:t xml:space="preserve">οδηγεί σε </w:t>
      </w:r>
      <w:r w:rsidRPr="0085202D">
        <w:rPr>
          <w:rFonts w:ascii="Arial Narrow" w:eastAsia="Times New Roman" w:hAnsi="Arial Narrow" w:cs="Times New Roman"/>
          <w:b/>
          <w:sz w:val="24"/>
          <w:szCs w:val="24"/>
          <w:lang w:eastAsia="el-GR"/>
        </w:rPr>
        <w:t xml:space="preserve"> </w:t>
      </w:r>
      <w:proofErr w:type="spellStart"/>
      <w:r w:rsidR="00B16610">
        <w:rPr>
          <w:rFonts w:ascii="Arial Narrow" w:eastAsia="Times New Roman" w:hAnsi="Arial Narrow" w:cs="Times New Roman"/>
          <w:b/>
          <w:sz w:val="24"/>
          <w:szCs w:val="24"/>
          <w:lang w:eastAsia="el-GR"/>
        </w:rPr>
        <w:t>μετακύλιση</w:t>
      </w:r>
      <w:proofErr w:type="spellEnd"/>
      <w:r w:rsidR="00B16610">
        <w:rPr>
          <w:rFonts w:ascii="Arial Narrow" w:eastAsia="Times New Roman" w:hAnsi="Arial Narrow" w:cs="Times New Roman"/>
          <w:b/>
          <w:sz w:val="24"/>
          <w:szCs w:val="24"/>
          <w:lang w:eastAsia="el-GR"/>
        </w:rPr>
        <w:t xml:space="preserve"> δημόσιων</w:t>
      </w:r>
      <w:r w:rsidRPr="0085202D">
        <w:rPr>
          <w:rFonts w:ascii="Arial Narrow" w:eastAsia="Times New Roman" w:hAnsi="Arial Narrow" w:cs="Times New Roman"/>
          <w:b/>
          <w:sz w:val="24"/>
          <w:szCs w:val="24"/>
          <w:lang w:eastAsia="el-GR"/>
        </w:rPr>
        <w:t xml:space="preserve"> χρεών</w:t>
      </w:r>
      <w:r w:rsidR="00B16610">
        <w:rPr>
          <w:rFonts w:ascii="Arial Narrow" w:eastAsia="Times New Roman" w:hAnsi="Arial Narrow" w:cs="Times New Roman"/>
          <w:b/>
          <w:sz w:val="24"/>
          <w:szCs w:val="24"/>
          <w:lang w:eastAsia="el-GR"/>
        </w:rPr>
        <w:t xml:space="preserve"> των νοικοκυριών</w:t>
      </w:r>
      <w:r w:rsidRPr="0085202D">
        <w:rPr>
          <w:rFonts w:ascii="Arial Narrow" w:eastAsia="Times New Roman" w:hAnsi="Arial Narrow" w:cs="Times New Roman"/>
          <w:b/>
          <w:sz w:val="24"/>
          <w:szCs w:val="24"/>
          <w:lang w:eastAsia="el-GR"/>
        </w:rPr>
        <w:t xml:space="preserve"> από το δημόσιο στον ιδιωτικό τομέα.</w:t>
      </w:r>
    </w:p>
    <w:p w:rsidR="00F465E9" w:rsidRDefault="00B16610" w:rsidP="00F465E9">
      <w:pPr>
        <w:numPr>
          <w:ilvl w:val="0"/>
          <w:numId w:val="1"/>
        </w:numPr>
        <w:spacing w:after="0" w:line="240" w:lineRule="auto"/>
        <w:jc w:val="both"/>
        <w:rPr>
          <w:rFonts w:ascii="Arial Narrow" w:eastAsia="Times New Roman" w:hAnsi="Arial Narrow" w:cs="Times New Roman"/>
          <w:sz w:val="24"/>
          <w:szCs w:val="24"/>
          <w:lang w:eastAsia="el-GR"/>
        </w:rPr>
      </w:pPr>
      <w:r>
        <w:rPr>
          <w:rFonts w:ascii="Arial Narrow" w:eastAsia="Times New Roman" w:hAnsi="Arial Narrow" w:cs="Times New Roman"/>
          <w:sz w:val="24"/>
          <w:szCs w:val="24"/>
          <w:lang w:eastAsia="el-GR"/>
        </w:rPr>
        <w:t>Περίπου 400,000</w:t>
      </w:r>
      <w:r w:rsidR="00821F0B" w:rsidRPr="00751238">
        <w:rPr>
          <w:rFonts w:ascii="Arial Narrow" w:eastAsia="Times New Roman" w:hAnsi="Arial Narrow" w:cs="Times New Roman"/>
          <w:sz w:val="24"/>
          <w:szCs w:val="24"/>
          <w:lang w:eastAsia="el-GR"/>
        </w:rPr>
        <w:t xml:space="preserve"> νοικοκυριά αν</w:t>
      </w:r>
      <w:r>
        <w:rPr>
          <w:rFonts w:ascii="Arial Narrow" w:eastAsia="Times New Roman" w:hAnsi="Arial Narrow" w:cs="Times New Roman"/>
          <w:sz w:val="24"/>
          <w:szCs w:val="24"/>
          <w:lang w:eastAsia="el-GR"/>
        </w:rPr>
        <w:t>αγκάστηκαν να ρευστοποιήσουν</w:t>
      </w:r>
      <w:r w:rsidR="00821F0B" w:rsidRPr="00751238">
        <w:rPr>
          <w:rFonts w:ascii="Arial Narrow" w:eastAsia="Times New Roman" w:hAnsi="Arial Narrow" w:cs="Times New Roman"/>
          <w:sz w:val="24"/>
          <w:szCs w:val="24"/>
          <w:lang w:eastAsia="el-GR"/>
        </w:rPr>
        <w:t xml:space="preserve"> περιουσιακά στοιχεία για </w:t>
      </w:r>
      <w:r>
        <w:rPr>
          <w:rFonts w:ascii="Arial Narrow" w:eastAsia="Times New Roman" w:hAnsi="Arial Narrow" w:cs="Times New Roman"/>
          <w:sz w:val="24"/>
          <w:szCs w:val="24"/>
          <w:lang w:eastAsia="el-GR"/>
        </w:rPr>
        <w:t>ανταποκριθούν</w:t>
      </w:r>
      <w:r w:rsidR="00F465E9" w:rsidRPr="00751238">
        <w:rPr>
          <w:rFonts w:ascii="Arial Narrow" w:eastAsia="Times New Roman" w:hAnsi="Arial Narrow" w:cs="Times New Roman"/>
          <w:sz w:val="24"/>
          <w:szCs w:val="24"/>
          <w:lang w:eastAsia="el-GR"/>
        </w:rPr>
        <w:t xml:space="preserve"> </w:t>
      </w:r>
      <w:r w:rsidR="00821F0B" w:rsidRPr="00751238">
        <w:rPr>
          <w:rFonts w:ascii="Arial Narrow" w:eastAsia="Times New Roman" w:hAnsi="Arial Narrow" w:cs="Times New Roman"/>
          <w:sz w:val="24"/>
          <w:szCs w:val="24"/>
          <w:lang w:eastAsia="el-GR"/>
        </w:rPr>
        <w:t xml:space="preserve">στις </w:t>
      </w:r>
      <w:r>
        <w:rPr>
          <w:rFonts w:ascii="Arial Narrow" w:eastAsia="Times New Roman" w:hAnsi="Arial Narrow" w:cs="Times New Roman"/>
          <w:sz w:val="24"/>
          <w:szCs w:val="24"/>
          <w:lang w:eastAsia="el-GR"/>
        </w:rPr>
        <w:t xml:space="preserve">τρέχουσες </w:t>
      </w:r>
      <w:r w:rsidR="00821F0B" w:rsidRPr="00751238">
        <w:rPr>
          <w:rFonts w:ascii="Arial Narrow" w:eastAsia="Times New Roman" w:hAnsi="Arial Narrow" w:cs="Times New Roman"/>
          <w:sz w:val="24"/>
          <w:szCs w:val="24"/>
          <w:lang w:eastAsia="el-GR"/>
        </w:rPr>
        <w:t>ανάγκες του</w:t>
      </w:r>
      <w:r>
        <w:rPr>
          <w:rFonts w:ascii="Arial Narrow" w:eastAsia="Times New Roman" w:hAnsi="Arial Narrow" w:cs="Times New Roman"/>
          <w:sz w:val="24"/>
          <w:szCs w:val="24"/>
          <w:lang w:eastAsia="el-GR"/>
        </w:rPr>
        <w:t>ς</w:t>
      </w:r>
      <w:r w:rsidR="00F465E9" w:rsidRPr="00751238">
        <w:rPr>
          <w:rFonts w:ascii="Arial Narrow" w:eastAsia="Times New Roman" w:hAnsi="Arial Narrow" w:cs="Times New Roman"/>
          <w:sz w:val="24"/>
          <w:szCs w:val="24"/>
          <w:lang w:eastAsia="el-GR"/>
        </w:rPr>
        <w:t>.</w:t>
      </w:r>
      <w:r w:rsidR="00751238">
        <w:rPr>
          <w:rFonts w:ascii="Arial Narrow" w:eastAsia="Times New Roman" w:hAnsi="Arial Narrow" w:cs="Times New Roman"/>
          <w:sz w:val="24"/>
          <w:szCs w:val="24"/>
          <w:lang w:eastAsia="el-GR"/>
        </w:rPr>
        <w:t xml:space="preserve">. </w:t>
      </w:r>
    </w:p>
    <w:p w:rsidR="00F465E9" w:rsidRPr="00F465E9" w:rsidRDefault="00F465E9" w:rsidP="00F465E9">
      <w:pPr>
        <w:spacing w:after="0" w:line="240" w:lineRule="auto"/>
        <w:jc w:val="both"/>
        <w:rPr>
          <w:rFonts w:ascii="Arial Narrow" w:eastAsia="Times New Roman" w:hAnsi="Arial Narrow" w:cs="Times New Roman"/>
          <w:sz w:val="24"/>
          <w:szCs w:val="24"/>
          <w:lang w:eastAsia="el-GR"/>
        </w:rPr>
      </w:pPr>
    </w:p>
    <w:p w:rsidR="0062301C" w:rsidRDefault="0062301C" w:rsidP="00A12E38">
      <w:pPr>
        <w:spacing w:after="0" w:line="240" w:lineRule="auto"/>
        <w:ind w:firstLine="720"/>
        <w:jc w:val="both"/>
        <w:rPr>
          <w:rFonts w:ascii="Arial Narrow" w:eastAsia="Times New Roman" w:hAnsi="Arial Narrow" w:cs="Times New Roman"/>
          <w:b/>
          <w:sz w:val="24"/>
          <w:szCs w:val="24"/>
          <w:u w:val="single"/>
          <w:lang w:val="en-US" w:eastAsia="el-GR"/>
        </w:rPr>
      </w:pPr>
    </w:p>
    <w:p w:rsidR="0062301C" w:rsidRDefault="0062301C" w:rsidP="00A12E38">
      <w:pPr>
        <w:spacing w:after="0" w:line="240" w:lineRule="auto"/>
        <w:ind w:firstLine="720"/>
        <w:jc w:val="both"/>
        <w:rPr>
          <w:rFonts w:ascii="Arial Narrow" w:eastAsia="Times New Roman" w:hAnsi="Arial Narrow" w:cs="Times New Roman"/>
          <w:b/>
          <w:sz w:val="24"/>
          <w:szCs w:val="24"/>
          <w:u w:val="single"/>
          <w:lang w:val="en-US" w:eastAsia="el-GR"/>
        </w:rPr>
      </w:pPr>
    </w:p>
    <w:p w:rsidR="0062301C" w:rsidRDefault="0062301C" w:rsidP="00A12E38">
      <w:pPr>
        <w:spacing w:after="0" w:line="240" w:lineRule="auto"/>
        <w:ind w:firstLine="720"/>
        <w:jc w:val="both"/>
        <w:rPr>
          <w:rFonts w:ascii="Arial Narrow" w:eastAsia="Times New Roman" w:hAnsi="Arial Narrow" w:cs="Times New Roman"/>
          <w:b/>
          <w:sz w:val="24"/>
          <w:szCs w:val="24"/>
          <w:u w:val="single"/>
          <w:lang w:val="en-US" w:eastAsia="el-GR"/>
        </w:rPr>
      </w:pPr>
    </w:p>
    <w:p w:rsidR="0062301C" w:rsidRDefault="0062301C" w:rsidP="00A12E38">
      <w:pPr>
        <w:spacing w:after="0" w:line="240" w:lineRule="auto"/>
        <w:ind w:firstLine="720"/>
        <w:jc w:val="both"/>
        <w:rPr>
          <w:rFonts w:ascii="Arial Narrow" w:eastAsia="Times New Roman" w:hAnsi="Arial Narrow" w:cs="Times New Roman"/>
          <w:b/>
          <w:sz w:val="24"/>
          <w:szCs w:val="24"/>
          <w:u w:val="single"/>
          <w:lang w:val="en-US" w:eastAsia="el-GR"/>
        </w:rPr>
      </w:pPr>
    </w:p>
    <w:p w:rsidR="0062301C" w:rsidRDefault="0062301C" w:rsidP="00A12E38">
      <w:pPr>
        <w:spacing w:after="0" w:line="240" w:lineRule="auto"/>
        <w:ind w:firstLine="720"/>
        <w:jc w:val="both"/>
        <w:rPr>
          <w:rFonts w:ascii="Arial Narrow" w:eastAsia="Times New Roman" w:hAnsi="Arial Narrow" w:cs="Times New Roman"/>
          <w:b/>
          <w:sz w:val="24"/>
          <w:szCs w:val="24"/>
          <w:u w:val="single"/>
          <w:lang w:val="en-US" w:eastAsia="el-GR"/>
        </w:rPr>
      </w:pPr>
    </w:p>
    <w:p w:rsidR="00F465E9" w:rsidRPr="00A12E38" w:rsidRDefault="00F465E9" w:rsidP="00A12E38">
      <w:pPr>
        <w:spacing w:after="0" w:line="240" w:lineRule="auto"/>
        <w:ind w:firstLine="720"/>
        <w:jc w:val="both"/>
        <w:rPr>
          <w:rFonts w:ascii="Arial Narrow" w:eastAsia="Times New Roman" w:hAnsi="Arial Narrow" w:cs="Times New Roman"/>
          <w:b/>
          <w:sz w:val="24"/>
          <w:szCs w:val="24"/>
          <w:u w:val="single"/>
          <w:lang w:eastAsia="el-GR"/>
        </w:rPr>
      </w:pPr>
      <w:r w:rsidRPr="00F465E9">
        <w:rPr>
          <w:rFonts w:ascii="Arial Narrow" w:eastAsia="Times New Roman" w:hAnsi="Arial Narrow" w:cs="Times New Roman"/>
          <w:b/>
          <w:sz w:val="24"/>
          <w:szCs w:val="24"/>
          <w:u w:val="single"/>
          <w:lang w:eastAsia="el-GR"/>
        </w:rPr>
        <w:t>Π</w:t>
      </w:r>
      <w:r w:rsidR="00A12E38">
        <w:rPr>
          <w:rFonts w:ascii="Arial Narrow" w:eastAsia="Times New Roman" w:hAnsi="Arial Narrow" w:cs="Times New Roman"/>
          <w:b/>
          <w:sz w:val="24"/>
          <w:szCs w:val="24"/>
          <w:u w:val="single"/>
          <w:lang w:eastAsia="el-GR"/>
        </w:rPr>
        <w:t>ίνακας 3- Καθυστερημένες οφειλέ</w:t>
      </w:r>
      <w:r w:rsidRPr="00F465E9">
        <w:rPr>
          <w:rFonts w:ascii="Arial Narrow" w:eastAsia="Times New Roman" w:hAnsi="Arial Narrow" w:cs="Times New Roman"/>
          <w:noProof/>
          <w:sz w:val="24"/>
          <w:szCs w:val="24"/>
          <w:lang w:eastAsia="el-GR"/>
        </w:rPr>
        <w:drawing>
          <wp:anchor distT="0" distB="0" distL="114300" distR="114300" simplePos="0" relativeHeight="251662336" behindDoc="0" locked="0" layoutInCell="1" allowOverlap="1">
            <wp:simplePos x="0" y="0"/>
            <wp:positionH relativeFrom="column">
              <wp:posOffset>332105</wp:posOffset>
            </wp:positionH>
            <wp:positionV relativeFrom="paragraph">
              <wp:posOffset>83185</wp:posOffset>
            </wp:positionV>
            <wp:extent cx="5600700" cy="2371725"/>
            <wp:effectExtent l="0" t="0" r="0" b="0"/>
            <wp:wrapNone/>
            <wp:docPr id="5"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00A12E38">
        <w:rPr>
          <w:rFonts w:ascii="Arial Narrow" w:eastAsia="Times New Roman" w:hAnsi="Arial Narrow" w:cs="Times New Roman"/>
          <w:b/>
          <w:sz w:val="24"/>
          <w:szCs w:val="24"/>
          <w:u w:val="single"/>
          <w:lang w:eastAsia="el-GR"/>
        </w:rPr>
        <w:t>ς</w:t>
      </w:r>
    </w:p>
    <w:p w:rsidR="00F465E9" w:rsidRPr="00F465E9" w:rsidRDefault="00F465E9" w:rsidP="00F465E9">
      <w:pPr>
        <w:spacing w:after="0" w:line="240" w:lineRule="auto"/>
        <w:ind w:left="720"/>
        <w:jc w:val="both"/>
        <w:rPr>
          <w:rFonts w:ascii="Arial Narrow" w:eastAsia="Times New Roman" w:hAnsi="Arial Narrow" w:cs="Times New Roman"/>
          <w:b/>
          <w:sz w:val="24"/>
          <w:szCs w:val="24"/>
          <w:u w:val="single"/>
          <w:lang w:eastAsia="el-GR"/>
        </w:rPr>
      </w:pPr>
    </w:p>
    <w:p w:rsidR="00F465E9" w:rsidRPr="00F465E9" w:rsidRDefault="00F465E9" w:rsidP="00F465E9">
      <w:pPr>
        <w:spacing w:after="0" w:line="240" w:lineRule="auto"/>
        <w:ind w:left="720"/>
        <w:jc w:val="both"/>
        <w:rPr>
          <w:rFonts w:ascii="Arial Narrow" w:eastAsia="Times New Roman" w:hAnsi="Arial Narrow" w:cs="Times New Roman"/>
          <w:sz w:val="24"/>
          <w:szCs w:val="24"/>
          <w:lang w:eastAsia="el-GR"/>
        </w:rPr>
      </w:pPr>
    </w:p>
    <w:p w:rsidR="00F465E9" w:rsidRPr="00F465E9" w:rsidRDefault="00F465E9" w:rsidP="00F465E9">
      <w:pPr>
        <w:spacing w:after="0" w:line="240" w:lineRule="auto"/>
        <w:ind w:left="720"/>
        <w:jc w:val="both"/>
        <w:rPr>
          <w:rFonts w:ascii="Arial Narrow" w:eastAsia="Times New Roman" w:hAnsi="Arial Narrow" w:cs="Times New Roman"/>
          <w:b/>
          <w:sz w:val="24"/>
          <w:szCs w:val="24"/>
          <w:u w:val="single"/>
          <w:lang w:eastAsia="el-GR"/>
        </w:rPr>
      </w:pPr>
    </w:p>
    <w:p w:rsidR="00F465E9" w:rsidRPr="00F465E9" w:rsidRDefault="00F465E9" w:rsidP="002B4488">
      <w:pPr>
        <w:spacing w:after="0" w:line="240" w:lineRule="auto"/>
        <w:jc w:val="both"/>
        <w:rPr>
          <w:rFonts w:ascii="Arial Narrow" w:eastAsia="Times New Roman" w:hAnsi="Arial Narrow" w:cs="Times New Roman"/>
          <w:b/>
          <w:sz w:val="24"/>
          <w:szCs w:val="24"/>
          <w:u w:val="single"/>
          <w:lang w:eastAsia="el-GR"/>
        </w:rPr>
      </w:pPr>
    </w:p>
    <w:p w:rsidR="00F465E9" w:rsidRPr="00F465E9" w:rsidRDefault="00F465E9" w:rsidP="00F465E9">
      <w:pPr>
        <w:spacing w:after="0" w:line="240" w:lineRule="auto"/>
        <w:ind w:left="720"/>
        <w:jc w:val="both"/>
        <w:rPr>
          <w:rFonts w:ascii="Arial Narrow" w:eastAsia="Times New Roman" w:hAnsi="Arial Narrow" w:cs="Times New Roman"/>
          <w:b/>
          <w:sz w:val="24"/>
          <w:szCs w:val="24"/>
          <w:u w:val="single"/>
          <w:lang w:eastAsia="el-GR"/>
        </w:rPr>
      </w:pPr>
    </w:p>
    <w:p w:rsidR="00F465E9" w:rsidRPr="00F465E9" w:rsidRDefault="00F465E9" w:rsidP="00F465E9">
      <w:pPr>
        <w:spacing w:after="0" w:line="240" w:lineRule="auto"/>
        <w:ind w:left="720"/>
        <w:jc w:val="both"/>
        <w:rPr>
          <w:rFonts w:ascii="Arial Narrow" w:eastAsia="Times New Roman" w:hAnsi="Arial Narrow" w:cs="Times New Roman"/>
          <w:b/>
          <w:sz w:val="24"/>
          <w:szCs w:val="24"/>
          <w:u w:val="single"/>
          <w:lang w:eastAsia="el-GR"/>
        </w:rPr>
      </w:pPr>
    </w:p>
    <w:p w:rsidR="00A12E38" w:rsidRDefault="00A12E38" w:rsidP="00F465E9">
      <w:pPr>
        <w:spacing w:after="0" w:line="240" w:lineRule="auto"/>
        <w:jc w:val="both"/>
        <w:rPr>
          <w:rFonts w:ascii="Arial Narrow" w:eastAsia="Times New Roman" w:hAnsi="Arial Narrow" w:cs="Times New Roman"/>
          <w:b/>
          <w:sz w:val="24"/>
          <w:szCs w:val="24"/>
          <w:u w:val="single"/>
          <w:lang w:eastAsia="el-GR"/>
        </w:rPr>
      </w:pPr>
    </w:p>
    <w:p w:rsidR="008F3A7E" w:rsidRDefault="008F3A7E" w:rsidP="00F465E9">
      <w:pPr>
        <w:spacing w:after="0" w:line="240" w:lineRule="auto"/>
        <w:jc w:val="both"/>
        <w:rPr>
          <w:rFonts w:ascii="Arial Narrow" w:eastAsia="Times New Roman" w:hAnsi="Arial Narrow" w:cs="Times New Roman"/>
          <w:b/>
          <w:sz w:val="24"/>
          <w:szCs w:val="24"/>
          <w:u w:val="single"/>
          <w:lang w:eastAsia="el-GR"/>
        </w:rPr>
      </w:pPr>
    </w:p>
    <w:p w:rsidR="008F3A7E" w:rsidRDefault="008F3A7E" w:rsidP="00F465E9">
      <w:pPr>
        <w:spacing w:after="0" w:line="240" w:lineRule="auto"/>
        <w:jc w:val="both"/>
        <w:rPr>
          <w:rFonts w:ascii="Arial Narrow" w:eastAsia="Times New Roman" w:hAnsi="Arial Narrow" w:cs="Times New Roman"/>
          <w:b/>
          <w:sz w:val="24"/>
          <w:szCs w:val="24"/>
          <w:u w:val="single"/>
          <w:lang w:eastAsia="el-GR"/>
        </w:rPr>
      </w:pPr>
    </w:p>
    <w:p w:rsidR="008F3A7E" w:rsidRDefault="008F3A7E" w:rsidP="00F465E9">
      <w:pPr>
        <w:spacing w:after="0" w:line="240" w:lineRule="auto"/>
        <w:jc w:val="both"/>
        <w:rPr>
          <w:rFonts w:ascii="Arial Narrow" w:eastAsia="Times New Roman" w:hAnsi="Arial Narrow" w:cs="Times New Roman"/>
          <w:b/>
          <w:sz w:val="24"/>
          <w:szCs w:val="24"/>
          <w:u w:val="single"/>
          <w:lang w:eastAsia="el-GR"/>
        </w:rPr>
      </w:pPr>
    </w:p>
    <w:p w:rsidR="00B16610" w:rsidRDefault="00B16610" w:rsidP="00F465E9">
      <w:pPr>
        <w:spacing w:after="0" w:line="240" w:lineRule="auto"/>
        <w:jc w:val="both"/>
        <w:rPr>
          <w:rFonts w:ascii="Arial Narrow" w:eastAsia="Times New Roman" w:hAnsi="Arial Narrow" w:cs="Times New Roman"/>
          <w:b/>
          <w:sz w:val="24"/>
          <w:szCs w:val="24"/>
          <w:u w:val="single"/>
          <w:lang w:eastAsia="el-GR"/>
        </w:rPr>
      </w:pPr>
    </w:p>
    <w:p w:rsidR="00B16610" w:rsidRDefault="00B16610" w:rsidP="00F465E9">
      <w:pPr>
        <w:spacing w:after="0" w:line="240" w:lineRule="auto"/>
        <w:jc w:val="both"/>
        <w:rPr>
          <w:rFonts w:ascii="Arial Narrow" w:eastAsia="Times New Roman" w:hAnsi="Arial Narrow" w:cs="Times New Roman"/>
          <w:b/>
          <w:sz w:val="24"/>
          <w:szCs w:val="24"/>
          <w:u w:val="single"/>
          <w:lang w:eastAsia="el-GR"/>
        </w:rPr>
      </w:pPr>
    </w:p>
    <w:p w:rsidR="00B16610" w:rsidRDefault="00B16610" w:rsidP="00F465E9">
      <w:pPr>
        <w:spacing w:after="0" w:line="240" w:lineRule="auto"/>
        <w:jc w:val="both"/>
        <w:rPr>
          <w:rFonts w:ascii="Arial Narrow" w:eastAsia="Times New Roman" w:hAnsi="Arial Narrow" w:cs="Times New Roman"/>
          <w:b/>
          <w:sz w:val="24"/>
          <w:szCs w:val="24"/>
          <w:u w:val="single"/>
          <w:lang w:eastAsia="el-GR"/>
        </w:rPr>
      </w:pPr>
    </w:p>
    <w:p w:rsidR="00861231" w:rsidRDefault="00861231" w:rsidP="00F465E9">
      <w:pPr>
        <w:spacing w:after="0" w:line="240" w:lineRule="auto"/>
        <w:jc w:val="both"/>
        <w:rPr>
          <w:rFonts w:ascii="Arial Narrow" w:eastAsia="Times New Roman" w:hAnsi="Arial Narrow" w:cs="Times New Roman"/>
          <w:b/>
          <w:sz w:val="24"/>
          <w:szCs w:val="24"/>
          <w:u w:val="single"/>
          <w:lang w:eastAsia="el-GR"/>
        </w:rPr>
      </w:pPr>
    </w:p>
    <w:p w:rsidR="00F465E9" w:rsidRPr="00F465E9" w:rsidRDefault="00F465E9" w:rsidP="00F465E9">
      <w:pPr>
        <w:spacing w:after="0" w:line="240" w:lineRule="auto"/>
        <w:jc w:val="both"/>
        <w:rPr>
          <w:rFonts w:ascii="Arial Narrow" w:eastAsia="Times New Roman" w:hAnsi="Arial Narrow" w:cs="Times New Roman"/>
          <w:b/>
          <w:sz w:val="24"/>
          <w:szCs w:val="24"/>
          <w:u w:val="single"/>
          <w:lang w:eastAsia="el-GR"/>
        </w:rPr>
      </w:pPr>
      <w:r w:rsidRPr="00F465E9">
        <w:rPr>
          <w:rFonts w:ascii="Arial Narrow" w:eastAsia="Times New Roman" w:hAnsi="Arial Narrow" w:cs="Times New Roman"/>
          <w:b/>
          <w:sz w:val="24"/>
          <w:szCs w:val="24"/>
          <w:u w:val="single"/>
          <w:lang w:eastAsia="el-GR"/>
        </w:rPr>
        <w:t>ΠΡΟΣΔΟΚΙΕΣ- ΚΑΤΑΝΑΛΩΤΙΚΕΣ ΤΑΣΕΙΣ</w:t>
      </w:r>
      <w:r w:rsidR="00861231">
        <w:rPr>
          <w:rFonts w:ascii="Arial Narrow" w:eastAsia="Times New Roman" w:hAnsi="Arial Narrow" w:cs="Times New Roman"/>
          <w:b/>
          <w:sz w:val="24"/>
          <w:szCs w:val="24"/>
          <w:u w:val="single"/>
          <w:lang w:eastAsia="el-GR"/>
        </w:rPr>
        <w:t>- ΠΟΙΟΤΗΤΑ ΖΩΗΣ</w:t>
      </w:r>
    </w:p>
    <w:p w:rsidR="00F465E9" w:rsidRPr="00F465E9" w:rsidRDefault="00F465E9" w:rsidP="00F465E9">
      <w:pPr>
        <w:spacing w:after="0" w:line="240" w:lineRule="auto"/>
        <w:ind w:left="720"/>
        <w:jc w:val="both"/>
        <w:rPr>
          <w:rFonts w:ascii="Arial Narrow" w:eastAsia="Times New Roman" w:hAnsi="Arial Narrow" w:cs="Times New Roman"/>
          <w:b/>
          <w:sz w:val="24"/>
          <w:szCs w:val="24"/>
          <w:u w:val="single"/>
          <w:lang w:eastAsia="el-GR"/>
        </w:rPr>
      </w:pPr>
    </w:p>
    <w:p w:rsidR="00F465E9" w:rsidRPr="00D34DAA" w:rsidRDefault="002B4488" w:rsidP="00F465E9">
      <w:pPr>
        <w:numPr>
          <w:ilvl w:val="0"/>
          <w:numId w:val="1"/>
        </w:numPr>
        <w:spacing w:after="0" w:line="240" w:lineRule="auto"/>
        <w:jc w:val="both"/>
        <w:rPr>
          <w:rFonts w:ascii="Arial Narrow" w:eastAsia="Times New Roman" w:hAnsi="Arial Narrow" w:cs="Times New Roman"/>
          <w:b/>
          <w:sz w:val="24"/>
          <w:szCs w:val="24"/>
          <w:u w:val="single"/>
          <w:lang w:eastAsia="el-GR"/>
        </w:rPr>
      </w:pPr>
      <w:r w:rsidRPr="00D34DAA">
        <w:rPr>
          <w:rFonts w:ascii="Arial Narrow" w:eastAsia="Times New Roman" w:hAnsi="Arial Narrow" w:cs="Times New Roman"/>
          <w:b/>
          <w:sz w:val="24"/>
          <w:szCs w:val="24"/>
          <w:lang w:eastAsia="el-GR"/>
        </w:rPr>
        <w:t>Το 42,5</w:t>
      </w:r>
      <w:r w:rsidR="00F465E9" w:rsidRPr="00D34DAA">
        <w:rPr>
          <w:rFonts w:ascii="Arial Narrow" w:eastAsia="Times New Roman" w:hAnsi="Arial Narrow" w:cs="Times New Roman"/>
          <w:b/>
          <w:sz w:val="24"/>
          <w:szCs w:val="24"/>
          <w:lang w:eastAsia="el-GR"/>
        </w:rPr>
        <w:t xml:space="preserve">% των νοικοκυριών </w:t>
      </w:r>
      <w:r w:rsidR="00B16610" w:rsidRPr="00D34DAA">
        <w:rPr>
          <w:rFonts w:ascii="Arial Narrow" w:eastAsia="Times New Roman" w:hAnsi="Arial Narrow" w:cs="Times New Roman"/>
          <w:b/>
          <w:sz w:val="24"/>
          <w:szCs w:val="24"/>
          <w:lang w:eastAsia="el-GR"/>
        </w:rPr>
        <w:t>είναι απαισιόδοξο</w:t>
      </w:r>
      <w:r w:rsidR="00F465E9" w:rsidRPr="00D34DAA">
        <w:rPr>
          <w:rFonts w:ascii="Arial Narrow" w:eastAsia="Times New Roman" w:hAnsi="Arial Narrow" w:cs="Times New Roman"/>
          <w:b/>
          <w:sz w:val="24"/>
          <w:szCs w:val="24"/>
          <w:lang w:eastAsia="el-GR"/>
        </w:rPr>
        <w:t xml:space="preserve"> ως προς την δυνατότητά του να καλύψει βασικές υποχρεώσεις το επόμενο έτος (Πίνακας 4). </w:t>
      </w:r>
      <w:r w:rsidRPr="00D34DAA">
        <w:rPr>
          <w:rFonts w:ascii="Arial Narrow" w:eastAsia="Times New Roman" w:hAnsi="Arial Narrow" w:cs="Times New Roman"/>
          <w:b/>
          <w:sz w:val="24"/>
          <w:szCs w:val="24"/>
          <w:lang w:eastAsia="el-GR"/>
        </w:rPr>
        <w:t>Είναι παγιωμένο και εξαιρε</w:t>
      </w:r>
      <w:r w:rsidR="0045307E" w:rsidRPr="00D34DAA">
        <w:rPr>
          <w:rFonts w:ascii="Arial Narrow" w:eastAsia="Times New Roman" w:hAnsi="Arial Narrow" w:cs="Times New Roman"/>
          <w:b/>
          <w:sz w:val="24"/>
          <w:szCs w:val="24"/>
          <w:lang w:eastAsia="el-GR"/>
        </w:rPr>
        <w:t xml:space="preserve">τικά ανησυχητικό το φαινόμενο </w:t>
      </w:r>
      <w:r w:rsidRPr="00D34DAA">
        <w:rPr>
          <w:rFonts w:ascii="Arial Narrow" w:eastAsia="Times New Roman" w:hAnsi="Arial Narrow" w:cs="Times New Roman"/>
          <w:b/>
          <w:sz w:val="24"/>
          <w:szCs w:val="24"/>
          <w:lang w:eastAsia="el-GR"/>
        </w:rPr>
        <w:t>ότι παρά τις τελευταίες ρυθμίσεις, πάνω από 1 στα 3 νοικοκυρι</w:t>
      </w:r>
      <w:r w:rsidR="000605C6" w:rsidRPr="00D34DAA">
        <w:rPr>
          <w:rFonts w:ascii="Arial Narrow" w:eastAsia="Times New Roman" w:hAnsi="Arial Narrow" w:cs="Times New Roman"/>
          <w:b/>
          <w:sz w:val="24"/>
          <w:szCs w:val="24"/>
          <w:lang w:eastAsia="el-GR"/>
        </w:rPr>
        <w:t>ά αδυνατούν</w:t>
      </w:r>
      <w:r w:rsidRPr="00D34DAA">
        <w:rPr>
          <w:rFonts w:ascii="Arial Narrow" w:eastAsia="Times New Roman" w:hAnsi="Arial Narrow" w:cs="Times New Roman"/>
          <w:b/>
          <w:sz w:val="24"/>
          <w:szCs w:val="24"/>
          <w:lang w:eastAsia="el-GR"/>
        </w:rPr>
        <w:t xml:space="preserve"> να εκπληρ</w:t>
      </w:r>
      <w:r w:rsidR="000605C6" w:rsidRPr="00D34DAA">
        <w:rPr>
          <w:rFonts w:ascii="Arial Narrow" w:eastAsia="Times New Roman" w:hAnsi="Arial Narrow" w:cs="Times New Roman"/>
          <w:b/>
          <w:sz w:val="24"/>
          <w:szCs w:val="24"/>
          <w:lang w:eastAsia="el-GR"/>
        </w:rPr>
        <w:t>ώσουν</w:t>
      </w:r>
      <w:r w:rsidRPr="00D34DAA">
        <w:rPr>
          <w:rFonts w:ascii="Arial Narrow" w:eastAsia="Times New Roman" w:hAnsi="Arial Narrow" w:cs="Times New Roman"/>
          <w:b/>
          <w:sz w:val="24"/>
          <w:szCs w:val="24"/>
          <w:lang w:eastAsia="el-GR"/>
        </w:rPr>
        <w:t xml:space="preserve"> τις φορολογικές του υποχρεώσεις</w:t>
      </w:r>
      <w:r w:rsidR="008B60DC" w:rsidRPr="00D34DAA">
        <w:rPr>
          <w:rFonts w:ascii="Arial Narrow" w:eastAsia="Times New Roman" w:hAnsi="Arial Narrow" w:cs="Times New Roman"/>
          <w:sz w:val="24"/>
          <w:szCs w:val="24"/>
          <w:lang w:eastAsia="el-GR"/>
        </w:rPr>
        <w:t>.</w:t>
      </w:r>
      <w:r w:rsidR="0045307E" w:rsidRPr="00D34DAA">
        <w:rPr>
          <w:rFonts w:ascii="Arial Narrow" w:eastAsia="Times New Roman" w:hAnsi="Arial Narrow" w:cs="Times New Roman"/>
          <w:sz w:val="24"/>
          <w:szCs w:val="24"/>
          <w:lang w:eastAsia="el-GR"/>
        </w:rPr>
        <w:t xml:space="preserve"> Τα νοικοκυριά βρίσκονται ταυτόχρονα στη δίδυμη παγίδα χρέους και φτώχειας.</w:t>
      </w:r>
      <w:r w:rsidR="008B60DC" w:rsidRPr="00D34DAA">
        <w:rPr>
          <w:rFonts w:ascii="Arial Narrow" w:eastAsia="Times New Roman" w:hAnsi="Arial Narrow" w:cs="Times New Roman"/>
          <w:sz w:val="24"/>
          <w:szCs w:val="24"/>
          <w:lang w:eastAsia="el-GR"/>
        </w:rPr>
        <w:t xml:space="preserve"> </w:t>
      </w:r>
    </w:p>
    <w:p w:rsidR="00D34DAA" w:rsidRPr="00D34DAA" w:rsidRDefault="00D34DAA" w:rsidP="00D34DAA">
      <w:pPr>
        <w:spacing w:after="0" w:line="240" w:lineRule="auto"/>
        <w:ind w:left="720"/>
        <w:jc w:val="both"/>
        <w:rPr>
          <w:rFonts w:ascii="Arial Narrow" w:eastAsia="Times New Roman" w:hAnsi="Arial Narrow" w:cs="Times New Roman"/>
          <w:b/>
          <w:sz w:val="24"/>
          <w:szCs w:val="24"/>
          <w:u w:val="single"/>
          <w:lang w:eastAsia="el-GR"/>
        </w:rPr>
      </w:pPr>
    </w:p>
    <w:p w:rsidR="00F465E9" w:rsidRPr="00D34DAA" w:rsidRDefault="00F465E9" w:rsidP="00F465E9">
      <w:pPr>
        <w:spacing w:after="0" w:line="240" w:lineRule="auto"/>
        <w:ind w:left="720"/>
        <w:jc w:val="both"/>
        <w:rPr>
          <w:rFonts w:ascii="Arial Narrow" w:eastAsia="Times New Roman" w:hAnsi="Arial Narrow" w:cs="Times New Roman"/>
          <w:b/>
          <w:sz w:val="24"/>
          <w:szCs w:val="24"/>
          <w:u w:val="single"/>
          <w:lang w:eastAsia="el-GR"/>
        </w:rPr>
      </w:pPr>
      <w:r w:rsidRPr="00D34DAA">
        <w:rPr>
          <w:rFonts w:ascii="Arial Narrow" w:eastAsia="Times New Roman" w:hAnsi="Arial Narrow" w:cs="Times New Roman"/>
          <w:b/>
          <w:sz w:val="24"/>
          <w:szCs w:val="24"/>
          <w:u w:val="single"/>
          <w:lang w:eastAsia="el-GR"/>
        </w:rPr>
        <w:t>Πίνακας 4- Προσδοκία για την κάλυψη των υποχρεώσεων έτους 2014</w:t>
      </w:r>
    </w:p>
    <w:p w:rsidR="00F465E9" w:rsidRPr="00D34DAA" w:rsidRDefault="009B1220" w:rsidP="00F465E9">
      <w:pPr>
        <w:spacing w:after="0" w:line="240" w:lineRule="auto"/>
        <w:jc w:val="both"/>
        <w:rPr>
          <w:rFonts w:ascii="Times New Roman" w:eastAsia="Times New Roman" w:hAnsi="Times New Roman" w:cs="Times New Roman"/>
          <w:sz w:val="24"/>
          <w:szCs w:val="24"/>
          <w:lang w:eastAsia="el-GR"/>
        </w:rPr>
      </w:pPr>
      <w:r w:rsidRPr="00D34DAA">
        <w:rPr>
          <w:rFonts w:ascii="Times New Roman" w:eastAsia="Times New Roman" w:hAnsi="Times New Roman" w:cs="Times New Roman"/>
          <w:noProof/>
          <w:sz w:val="24"/>
          <w:szCs w:val="24"/>
          <w:lang w:eastAsia="el-GR"/>
        </w:rPr>
        <w:drawing>
          <wp:anchor distT="0" distB="0" distL="114300" distR="114300" simplePos="0" relativeHeight="251672576" behindDoc="0" locked="0" layoutInCell="1" allowOverlap="1">
            <wp:simplePos x="0" y="0"/>
            <wp:positionH relativeFrom="column">
              <wp:posOffset>417830</wp:posOffset>
            </wp:positionH>
            <wp:positionV relativeFrom="paragraph">
              <wp:posOffset>46355</wp:posOffset>
            </wp:positionV>
            <wp:extent cx="5133975" cy="2121611"/>
            <wp:effectExtent l="0" t="0" r="0" b="0"/>
            <wp:wrapNone/>
            <wp:docPr id="15" name="Γράφημα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F465E9" w:rsidRPr="00D34DAA" w:rsidRDefault="00F465E9" w:rsidP="00F465E9">
      <w:pPr>
        <w:spacing w:after="0" w:line="240" w:lineRule="auto"/>
        <w:jc w:val="both"/>
        <w:rPr>
          <w:rFonts w:ascii="Times New Roman" w:eastAsia="Times New Roman" w:hAnsi="Times New Roman" w:cs="Times New Roman"/>
          <w:sz w:val="24"/>
          <w:szCs w:val="24"/>
          <w:lang w:eastAsia="el-GR"/>
        </w:rPr>
      </w:pPr>
    </w:p>
    <w:p w:rsidR="00F465E9" w:rsidRPr="00D34DAA" w:rsidRDefault="00F465E9" w:rsidP="00F465E9">
      <w:pPr>
        <w:spacing w:after="0" w:line="240" w:lineRule="auto"/>
        <w:jc w:val="both"/>
        <w:rPr>
          <w:rFonts w:ascii="Times New Roman" w:eastAsia="Times New Roman" w:hAnsi="Times New Roman" w:cs="Times New Roman"/>
          <w:sz w:val="24"/>
          <w:szCs w:val="24"/>
          <w:lang w:eastAsia="el-GR"/>
        </w:rPr>
      </w:pPr>
    </w:p>
    <w:p w:rsidR="00F465E9" w:rsidRPr="00D34DAA" w:rsidRDefault="00F465E9" w:rsidP="00F465E9">
      <w:pPr>
        <w:spacing w:after="0" w:line="240" w:lineRule="auto"/>
        <w:jc w:val="both"/>
        <w:rPr>
          <w:rFonts w:ascii="Times New Roman" w:eastAsia="Times New Roman" w:hAnsi="Times New Roman" w:cs="Times New Roman"/>
          <w:sz w:val="24"/>
          <w:szCs w:val="24"/>
          <w:lang w:eastAsia="el-GR"/>
        </w:rPr>
      </w:pPr>
    </w:p>
    <w:p w:rsidR="00F465E9" w:rsidRPr="00D34DAA" w:rsidRDefault="00F465E9" w:rsidP="00F465E9">
      <w:pPr>
        <w:spacing w:after="0" w:line="240" w:lineRule="auto"/>
        <w:jc w:val="both"/>
        <w:rPr>
          <w:rFonts w:ascii="Times New Roman" w:eastAsia="Times New Roman" w:hAnsi="Times New Roman" w:cs="Times New Roman"/>
          <w:sz w:val="24"/>
          <w:szCs w:val="24"/>
          <w:lang w:eastAsia="el-GR"/>
        </w:rPr>
      </w:pPr>
    </w:p>
    <w:p w:rsidR="00F465E9" w:rsidRPr="00D34DAA" w:rsidRDefault="00F465E9" w:rsidP="00F465E9">
      <w:pPr>
        <w:spacing w:after="0" w:line="240" w:lineRule="auto"/>
        <w:jc w:val="both"/>
        <w:rPr>
          <w:rFonts w:ascii="Times New Roman" w:eastAsia="Times New Roman" w:hAnsi="Times New Roman" w:cs="Times New Roman"/>
          <w:sz w:val="24"/>
          <w:szCs w:val="24"/>
          <w:lang w:eastAsia="el-GR"/>
        </w:rPr>
      </w:pPr>
    </w:p>
    <w:p w:rsidR="00F465E9" w:rsidRPr="00D34DAA" w:rsidRDefault="00F465E9" w:rsidP="00F465E9">
      <w:pPr>
        <w:spacing w:after="0" w:line="240" w:lineRule="auto"/>
        <w:jc w:val="both"/>
        <w:rPr>
          <w:rFonts w:ascii="Times New Roman" w:eastAsia="Times New Roman" w:hAnsi="Times New Roman" w:cs="Times New Roman"/>
          <w:sz w:val="24"/>
          <w:szCs w:val="24"/>
          <w:lang w:eastAsia="el-GR"/>
        </w:rPr>
      </w:pPr>
    </w:p>
    <w:p w:rsidR="00F465E9" w:rsidRPr="00D34DAA" w:rsidRDefault="00F465E9" w:rsidP="00F465E9">
      <w:pPr>
        <w:spacing w:after="0" w:line="240" w:lineRule="auto"/>
        <w:jc w:val="both"/>
        <w:rPr>
          <w:rFonts w:ascii="Times New Roman" w:eastAsia="Times New Roman" w:hAnsi="Times New Roman" w:cs="Times New Roman"/>
          <w:sz w:val="24"/>
          <w:szCs w:val="24"/>
          <w:lang w:eastAsia="el-GR"/>
        </w:rPr>
      </w:pPr>
    </w:p>
    <w:p w:rsidR="00F465E9" w:rsidRPr="00D34DAA" w:rsidRDefault="00F465E9" w:rsidP="00F465E9">
      <w:pPr>
        <w:spacing w:after="0" w:line="240" w:lineRule="auto"/>
        <w:jc w:val="both"/>
        <w:rPr>
          <w:rFonts w:ascii="Times New Roman" w:eastAsia="Times New Roman" w:hAnsi="Times New Roman" w:cs="Times New Roman"/>
          <w:sz w:val="24"/>
          <w:szCs w:val="24"/>
          <w:lang w:eastAsia="el-GR"/>
        </w:rPr>
      </w:pPr>
    </w:p>
    <w:p w:rsidR="00F465E9" w:rsidRPr="00D34DAA" w:rsidRDefault="00F465E9" w:rsidP="00F465E9">
      <w:pPr>
        <w:spacing w:after="0" w:line="240" w:lineRule="auto"/>
        <w:jc w:val="both"/>
        <w:rPr>
          <w:rFonts w:ascii="Times New Roman" w:eastAsia="Times New Roman" w:hAnsi="Times New Roman" w:cs="Times New Roman"/>
          <w:sz w:val="24"/>
          <w:szCs w:val="24"/>
          <w:lang w:eastAsia="el-GR"/>
        </w:rPr>
      </w:pPr>
    </w:p>
    <w:p w:rsidR="00F465E9" w:rsidRDefault="00F465E9" w:rsidP="00F465E9">
      <w:pPr>
        <w:spacing w:after="0" w:line="240" w:lineRule="auto"/>
        <w:jc w:val="both"/>
        <w:rPr>
          <w:rFonts w:ascii="Times New Roman" w:eastAsia="Times New Roman" w:hAnsi="Times New Roman" w:cs="Times New Roman"/>
          <w:sz w:val="24"/>
          <w:szCs w:val="24"/>
          <w:lang w:val="en-US" w:eastAsia="el-GR"/>
        </w:rPr>
      </w:pPr>
    </w:p>
    <w:p w:rsidR="0062301C" w:rsidRDefault="0062301C" w:rsidP="00F465E9">
      <w:pPr>
        <w:spacing w:after="0" w:line="240" w:lineRule="auto"/>
        <w:jc w:val="both"/>
        <w:rPr>
          <w:rFonts w:ascii="Times New Roman" w:eastAsia="Times New Roman" w:hAnsi="Times New Roman" w:cs="Times New Roman"/>
          <w:sz w:val="24"/>
          <w:szCs w:val="24"/>
          <w:lang w:val="en-US" w:eastAsia="el-GR"/>
        </w:rPr>
      </w:pPr>
    </w:p>
    <w:p w:rsidR="0062301C" w:rsidRPr="0062301C" w:rsidRDefault="0062301C" w:rsidP="00F465E9">
      <w:pPr>
        <w:spacing w:after="0" w:line="240" w:lineRule="auto"/>
        <w:jc w:val="both"/>
        <w:rPr>
          <w:rFonts w:ascii="Times New Roman" w:eastAsia="Times New Roman" w:hAnsi="Times New Roman" w:cs="Times New Roman"/>
          <w:sz w:val="24"/>
          <w:szCs w:val="24"/>
          <w:lang w:val="en-US" w:eastAsia="el-GR"/>
        </w:rPr>
      </w:pPr>
    </w:p>
    <w:p w:rsidR="00861231" w:rsidRDefault="00D34DAA" w:rsidP="00861231">
      <w:pPr>
        <w:numPr>
          <w:ilvl w:val="0"/>
          <w:numId w:val="1"/>
        </w:numPr>
        <w:spacing w:after="0" w:line="240" w:lineRule="auto"/>
        <w:jc w:val="both"/>
        <w:rPr>
          <w:rFonts w:ascii="Arial Narrow" w:eastAsia="Times New Roman" w:hAnsi="Arial Narrow" w:cs="Times New Roman"/>
          <w:sz w:val="24"/>
          <w:szCs w:val="24"/>
          <w:lang w:eastAsia="el-GR"/>
        </w:rPr>
      </w:pPr>
      <w:r w:rsidRPr="00D34DAA">
        <w:rPr>
          <w:rFonts w:ascii="Arial Narrow" w:eastAsia="Times New Roman" w:hAnsi="Arial Narrow" w:cs="Times New Roman"/>
          <w:sz w:val="24"/>
          <w:szCs w:val="24"/>
          <w:lang w:eastAsia="el-GR"/>
        </w:rPr>
        <w:t xml:space="preserve">Συνεχίζονται οι περικοπές στην κατανάλωση το 2014 (σε σχέση με το 2013) λόγω της περαιτέρω συρρίκνωσης του διαθέσιμου εισοδήματος – </w:t>
      </w:r>
      <w:r w:rsidRPr="00D34DAA">
        <w:rPr>
          <w:rFonts w:ascii="Arial Narrow" w:eastAsia="Times New Roman" w:hAnsi="Arial Narrow" w:cs="Times New Roman"/>
          <w:b/>
          <w:sz w:val="24"/>
          <w:szCs w:val="24"/>
          <w:lang w:eastAsia="el-GR"/>
        </w:rPr>
        <w:t>Πάνω από τα μισά νοικοκυριά έχουν κάνει περικοπές στις δαπάνες ειδών διατροφής, ενώ το 52%, περιόρισε τις δαπάνες για ένδυση – υπόδηση και περίπου το 50% έχει περιορίσει τις εξόδους για ψυχαγωγία.</w:t>
      </w:r>
      <w:r w:rsidRPr="00D34DAA">
        <w:rPr>
          <w:rFonts w:ascii="Arial Narrow" w:eastAsia="Times New Roman" w:hAnsi="Arial Narrow" w:cs="Times New Roman"/>
          <w:sz w:val="24"/>
          <w:szCs w:val="24"/>
          <w:lang w:eastAsia="el-GR"/>
        </w:rPr>
        <w:t xml:space="preserve"> Είναι χαρακτηριστικό ότι πάνω του 45% των νοικοκυριών έχει κάνει περικοπές στις δαπάνες για θέρμανση και μετακινήσεις.</w:t>
      </w:r>
    </w:p>
    <w:p w:rsidR="00861231" w:rsidRPr="00861231" w:rsidRDefault="00861231" w:rsidP="00861231">
      <w:pPr>
        <w:numPr>
          <w:ilvl w:val="0"/>
          <w:numId w:val="1"/>
        </w:numPr>
        <w:spacing w:after="0" w:line="240" w:lineRule="auto"/>
        <w:jc w:val="both"/>
        <w:rPr>
          <w:rFonts w:ascii="Arial Narrow" w:eastAsia="Times New Roman" w:hAnsi="Arial Narrow" w:cs="Times New Roman"/>
          <w:sz w:val="24"/>
          <w:szCs w:val="24"/>
          <w:lang w:eastAsia="el-GR"/>
        </w:rPr>
      </w:pPr>
      <w:r w:rsidRPr="00861231">
        <w:rPr>
          <w:rFonts w:ascii="Arial Narrow" w:eastAsia="Times New Roman" w:hAnsi="Arial Narrow" w:cs="Times New Roman"/>
          <w:sz w:val="24"/>
          <w:szCs w:val="24"/>
          <w:lang w:eastAsia="el-GR"/>
        </w:rPr>
        <w:t xml:space="preserve">Ανησυχητικό είναι το γεγονός ότι τα νοικοκυριά αύξησαν την ιδιωτική τους δαπάνη για ιατροφαρμακευτική περίθαλψη, λόγω της αύξησης της ιδιωτικής συμμετοχής και της μείωσης της δημόσιας δαπάνης στην υγεία (στη μοναδική κατηγορία στην οποία υπήρξε θετικό ισοζύγιο δαπάνης). </w:t>
      </w:r>
    </w:p>
    <w:p w:rsidR="00A12E38" w:rsidRPr="0062301C" w:rsidRDefault="00D34DAA" w:rsidP="00C131BE">
      <w:pPr>
        <w:numPr>
          <w:ilvl w:val="0"/>
          <w:numId w:val="1"/>
        </w:numPr>
        <w:spacing w:after="0" w:line="240" w:lineRule="auto"/>
        <w:jc w:val="both"/>
        <w:rPr>
          <w:rFonts w:ascii="Arial Narrow" w:eastAsia="Times New Roman" w:hAnsi="Arial Narrow" w:cs="Times New Roman"/>
          <w:sz w:val="24"/>
          <w:szCs w:val="24"/>
          <w:lang w:eastAsia="el-GR"/>
        </w:rPr>
      </w:pPr>
      <w:r w:rsidRPr="00D34DAA">
        <w:rPr>
          <w:rFonts w:ascii="Arial Narrow" w:eastAsia="Times New Roman" w:hAnsi="Arial Narrow" w:cs="Times New Roman"/>
          <w:sz w:val="24"/>
          <w:szCs w:val="24"/>
          <w:lang w:eastAsia="el-GR"/>
        </w:rPr>
        <w:t xml:space="preserve">Οι περικοπές που αναφέρθηκαν αντανακλώνται και στην εμπειρική αίσθηση των νοικοκυριών για την ακρίβεια. Πιο συγκεκριμένα, 6 στα 10 νοικοκυριά θεωρούν </w:t>
      </w:r>
      <w:r w:rsidRPr="00D34DAA">
        <w:rPr>
          <w:rFonts w:ascii="Arial Narrow" w:eastAsia="Times New Roman" w:hAnsi="Arial Narrow" w:cs="Times New Roman"/>
          <w:b/>
          <w:sz w:val="24"/>
          <w:szCs w:val="24"/>
          <w:lang w:eastAsia="el-GR"/>
        </w:rPr>
        <w:t>ότι κατά το τελευταίο έτος οι τιμές των αγαθών που αγοράζουν αυξήθηκαν</w:t>
      </w:r>
      <w:r w:rsidRPr="00D34DAA">
        <w:rPr>
          <w:rFonts w:ascii="Arial Narrow" w:eastAsia="Times New Roman" w:hAnsi="Arial Narrow" w:cs="Times New Roman"/>
          <w:sz w:val="24"/>
          <w:szCs w:val="24"/>
          <w:lang w:eastAsia="el-GR"/>
        </w:rPr>
        <w:t>, και τούτο παρά τη μικρή αποκλιμάκωση των τιμών. Αυτό σημαίνει ότι η μεγάλη μείωση του διαθέσιμου εισοδήματος έχει εξουδετερώσει τις αμελητέες μειώσεις των τιμών.</w:t>
      </w:r>
      <w:r>
        <w:rPr>
          <w:rFonts w:ascii="Arial Narrow" w:eastAsia="Times New Roman" w:hAnsi="Arial Narrow" w:cs="Times New Roman"/>
          <w:sz w:val="24"/>
          <w:szCs w:val="24"/>
          <w:lang w:eastAsia="el-GR"/>
        </w:rPr>
        <w:t xml:space="preserve"> </w:t>
      </w:r>
      <w:r w:rsidRPr="00D34DAA">
        <w:rPr>
          <w:rFonts w:ascii="Arial Narrow" w:eastAsia="Times New Roman" w:hAnsi="Arial Narrow" w:cs="Times New Roman"/>
          <w:sz w:val="24"/>
          <w:szCs w:val="24"/>
          <w:lang w:eastAsia="el-GR"/>
        </w:rPr>
        <w:t xml:space="preserve">Περισσότερα από τα μισά νοικοκυριά εμφανίζονται πολύ ευαίσθητα σε μεταβολές των τιμών καθώς </w:t>
      </w:r>
      <w:r w:rsidRPr="00D34DAA">
        <w:rPr>
          <w:rFonts w:ascii="Arial Narrow" w:eastAsia="Times New Roman" w:hAnsi="Arial Narrow" w:cs="Times New Roman"/>
          <w:b/>
          <w:sz w:val="24"/>
          <w:szCs w:val="24"/>
          <w:lang w:eastAsia="el-GR"/>
        </w:rPr>
        <w:t>θεωρούν ότι μικρές αυξήσεις τιμών στα βασικά είδη διατροφής και λογαριασμούς ΔΕΚΟ θα δημιουργούσαν σοβαρά προβλήματα στον οικογενειακό προγραμματισμό</w:t>
      </w:r>
      <w:r w:rsidRPr="00D34DAA">
        <w:rPr>
          <w:rFonts w:ascii="Arial Narrow" w:eastAsia="Times New Roman" w:hAnsi="Arial Narrow" w:cs="Times New Roman"/>
          <w:sz w:val="24"/>
          <w:szCs w:val="24"/>
          <w:lang w:eastAsia="el-GR"/>
        </w:rPr>
        <w:t>. Το γεγονός αυτό καθιστά απαγορευτική κάθε σκέψη για εισαγωγή ενός ενιαίου συντελεστή ΦΠΑ για όλα τα αγαθά.</w:t>
      </w:r>
    </w:p>
    <w:p w:rsidR="0062301C" w:rsidRDefault="0062301C" w:rsidP="0062301C">
      <w:pPr>
        <w:spacing w:after="0" w:line="240" w:lineRule="auto"/>
        <w:jc w:val="both"/>
        <w:rPr>
          <w:rFonts w:ascii="Arial Narrow" w:eastAsia="Times New Roman" w:hAnsi="Arial Narrow" w:cs="Times New Roman"/>
          <w:sz w:val="24"/>
          <w:szCs w:val="24"/>
          <w:lang w:val="en-US" w:eastAsia="el-GR"/>
        </w:rPr>
      </w:pPr>
    </w:p>
    <w:p w:rsidR="0062301C" w:rsidRDefault="0062301C" w:rsidP="0062301C">
      <w:pPr>
        <w:spacing w:after="0" w:line="240" w:lineRule="auto"/>
        <w:jc w:val="both"/>
        <w:rPr>
          <w:rFonts w:ascii="Arial Narrow" w:eastAsia="Times New Roman" w:hAnsi="Arial Narrow" w:cs="Times New Roman"/>
          <w:sz w:val="24"/>
          <w:szCs w:val="24"/>
          <w:lang w:val="en-US" w:eastAsia="el-GR"/>
        </w:rPr>
      </w:pPr>
    </w:p>
    <w:p w:rsidR="0062301C" w:rsidRDefault="0062301C" w:rsidP="0062301C">
      <w:pPr>
        <w:spacing w:after="0" w:line="240" w:lineRule="auto"/>
        <w:jc w:val="both"/>
        <w:rPr>
          <w:rFonts w:ascii="Arial Narrow" w:eastAsia="Times New Roman" w:hAnsi="Arial Narrow" w:cs="Times New Roman"/>
          <w:sz w:val="24"/>
          <w:szCs w:val="24"/>
          <w:lang w:val="en-US" w:eastAsia="el-GR"/>
        </w:rPr>
      </w:pPr>
    </w:p>
    <w:p w:rsidR="0062301C" w:rsidRDefault="0062301C" w:rsidP="0062301C">
      <w:pPr>
        <w:spacing w:after="0" w:line="240" w:lineRule="auto"/>
        <w:jc w:val="both"/>
        <w:rPr>
          <w:rFonts w:ascii="Arial Narrow" w:eastAsia="Times New Roman" w:hAnsi="Arial Narrow" w:cs="Times New Roman"/>
          <w:sz w:val="24"/>
          <w:szCs w:val="24"/>
          <w:lang w:val="en-US" w:eastAsia="el-GR"/>
        </w:rPr>
      </w:pPr>
    </w:p>
    <w:p w:rsidR="00B4410E" w:rsidRPr="00D9139C" w:rsidRDefault="00A12E38" w:rsidP="00B4410E">
      <w:pPr>
        <w:spacing w:after="0" w:line="240" w:lineRule="auto"/>
        <w:ind w:left="720"/>
        <w:jc w:val="both"/>
        <w:rPr>
          <w:rFonts w:ascii="Arial Narrow" w:eastAsia="Times New Roman" w:hAnsi="Arial Narrow" w:cs="Times New Roman"/>
          <w:b/>
          <w:sz w:val="24"/>
          <w:szCs w:val="24"/>
          <w:u w:val="single"/>
          <w:lang w:eastAsia="el-GR"/>
        </w:rPr>
      </w:pPr>
      <w:r>
        <w:rPr>
          <w:rFonts w:ascii="Times New Roman" w:eastAsia="Times New Roman" w:hAnsi="Times New Roman" w:cs="Times New Roman"/>
          <w:b/>
          <w:noProof/>
          <w:color w:val="FF0000"/>
          <w:sz w:val="24"/>
          <w:szCs w:val="24"/>
          <w:lang w:eastAsia="el-GR"/>
        </w:rPr>
        <w:drawing>
          <wp:anchor distT="0" distB="0" distL="114300" distR="114300" simplePos="0" relativeHeight="251671552" behindDoc="0" locked="0" layoutInCell="1" allowOverlap="1">
            <wp:simplePos x="0" y="0"/>
            <wp:positionH relativeFrom="column">
              <wp:posOffset>103505</wp:posOffset>
            </wp:positionH>
            <wp:positionV relativeFrom="paragraph">
              <wp:posOffset>142875</wp:posOffset>
            </wp:positionV>
            <wp:extent cx="6191250" cy="3533775"/>
            <wp:effectExtent l="0" t="0" r="0" b="0"/>
            <wp:wrapNone/>
            <wp:docPr id="14" name="Γράφημα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F465E9" w:rsidRPr="00F465E9">
        <w:rPr>
          <w:rFonts w:ascii="Arial Narrow" w:eastAsia="Times New Roman" w:hAnsi="Arial Narrow" w:cs="Times New Roman"/>
          <w:b/>
          <w:sz w:val="24"/>
          <w:szCs w:val="24"/>
          <w:u w:val="single"/>
          <w:lang w:eastAsia="el-GR"/>
        </w:rPr>
        <w:t>Πίνακας 5- Καταναλωτική συμπεριφορά (</w:t>
      </w:r>
      <w:r w:rsidR="00792EB6">
        <w:rPr>
          <w:rFonts w:ascii="Arial Narrow" w:eastAsia="Times New Roman" w:hAnsi="Arial Narrow" w:cs="Times New Roman"/>
          <w:b/>
          <w:sz w:val="24"/>
          <w:szCs w:val="24"/>
          <w:u w:val="single"/>
          <w:lang w:eastAsia="el-GR"/>
        </w:rPr>
        <w:t>εξέλιξη</w:t>
      </w:r>
      <w:r w:rsidR="00F465E9" w:rsidRPr="00F465E9">
        <w:rPr>
          <w:rFonts w:ascii="Arial Narrow" w:eastAsia="Times New Roman" w:hAnsi="Arial Narrow" w:cs="Times New Roman"/>
          <w:b/>
          <w:sz w:val="24"/>
          <w:szCs w:val="24"/>
          <w:u w:val="single"/>
          <w:lang w:eastAsia="el-GR"/>
        </w:rPr>
        <w:t xml:space="preserve"> δαπάνης</w:t>
      </w:r>
      <w:r w:rsidR="00792EB6">
        <w:rPr>
          <w:rFonts w:ascii="Arial Narrow" w:eastAsia="Times New Roman" w:hAnsi="Arial Narrow" w:cs="Times New Roman"/>
          <w:b/>
          <w:sz w:val="24"/>
          <w:szCs w:val="24"/>
          <w:u w:val="single"/>
          <w:lang w:eastAsia="el-GR"/>
        </w:rPr>
        <w:t xml:space="preserve"> νοικοκυριών 2014, σύγκριση με 2013</w:t>
      </w:r>
      <w:r w:rsidR="00D9139C" w:rsidRPr="00D9139C">
        <w:rPr>
          <w:rFonts w:ascii="Arial Narrow" w:eastAsia="Times New Roman" w:hAnsi="Arial Narrow" w:cs="Times New Roman"/>
          <w:b/>
          <w:sz w:val="24"/>
          <w:szCs w:val="24"/>
          <w:u w:val="single"/>
          <w:lang w:eastAsia="el-GR"/>
        </w:rPr>
        <w:t>)</w:t>
      </w:r>
    </w:p>
    <w:p w:rsidR="00B4410E" w:rsidRPr="00B4410E" w:rsidRDefault="00B4410E" w:rsidP="00F465E9">
      <w:pPr>
        <w:spacing w:after="0" w:line="240" w:lineRule="auto"/>
        <w:ind w:left="720"/>
        <w:jc w:val="both"/>
        <w:rPr>
          <w:rFonts w:ascii="Arial Narrow" w:eastAsia="Times New Roman" w:hAnsi="Arial Narrow" w:cs="Times New Roman"/>
          <w:b/>
          <w:sz w:val="24"/>
          <w:szCs w:val="24"/>
          <w:u w:val="single"/>
          <w:lang w:eastAsia="el-GR"/>
        </w:rPr>
      </w:pPr>
    </w:p>
    <w:p w:rsidR="00F465E9" w:rsidRPr="00F465E9" w:rsidRDefault="00F465E9" w:rsidP="00F465E9">
      <w:pPr>
        <w:spacing w:after="0" w:line="240" w:lineRule="auto"/>
        <w:ind w:left="720"/>
        <w:jc w:val="both"/>
        <w:rPr>
          <w:rFonts w:ascii="Times New Roman" w:eastAsia="Times New Roman" w:hAnsi="Times New Roman" w:cs="Times New Roman"/>
          <w:b/>
          <w:color w:val="FF0000"/>
          <w:sz w:val="24"/>
          <w:szCs w:val="24"/>
          <w:lang w:eastAsia="el-GR"/>
        </w:rPr>
      </w:pPr>
    </w:p>
    <w:p w:rsidR="00F465E9" w:rsidRPr="00F465E9" w:rsidRDefault="00F465E9" w:rsidP="00F465E9">
      <w:pPr>
        <w:spacing w:after="0" w:line="240" w:lineRule="auto"/>
        <w:ind w:left="720"/>
        <w:jc w:val="both"/>
        <w:rPr>
          <w:rFonts w:ascii="Times New Roman" w:eastAsia="Times New Roman" w:hAnsi="Times New Roman" w:cs="Times New Roman"/>
          <w:b/>
          <w:color w:val="FF0000"/>
          <w:sz w:val="24"/>
          <w:szCs w:val="24"/>
          <w:lang w:eastAsia="el-GR"/>
        </w:rPr>
      </w:pPr>
    </w:p>
    <w:p w:rsidR="00792EB6" w:rsidRDefault="00792EB6" w:rsidP="00F465E9">
      <w:pPr>
        <w:spacing w:after="0" w:line="240" w:lineRule="auto"/>
        <w:jc w:val="both"/>
        <w:rPr>
          <w:rFonts w:ascii="Times New Roman" w:eastAsia="Times New Roman" w:hAnsi="Times New Roman" w:cs="Times New Roman"/>
          <w:b/>
          <w:color w:val="FF0000"/>
          <w:sz w:val="24"/>
          <w:szCs w:val="24"/>
          <w:lang w:eastAsia="el-GR"/>
        </w:rPr>
      </w:pPr>
    </w:p>
    <w:p w:rsidR="00A12E38" w:rsidRDefault="00A12E38" w:rsidP="00F465E9">
      <w:pPr>
        <w:spacing w:after="0" w:line="240" w:lineRule="auto"/>
        <w:jc w:val="both"/>
        <w:rPr>
          <w:rFonts w:ascii="Arial Narrow" w:eastAsia="Times New Roman" w:hAnsi="Arial Narrow" w:cs="Times New Roman"/>
          <w:b/>
          <w:sz w:val="24"/>
          <w:szCs w:val="24"/>
          <w:lang w:eastAsia="el-GR"/>
        </w:rPr>
      </w:pPr>
    </w:p>
    <w:p w:rsidR="00792EB6" w:rsidRDefault="00792EB6" w:rsidP="00F465E9">
      <w:pPr>
        <w:spacing w:after="0" w:line="240" w:lineRule="auto"/>
        <w:jc w:val="both"/>
        <w:rPr>
          <w:rFonts w:ascii="Arial Narrow" w:eastAsia="Times New Roman" w:hAnsi="Arial Narrow" w:cs="Times New Roman"/>
          <w:b/>
          <w:sz w:val="24"/>
          <w:szCs w:val="24"/>
          <w:lang w:eastAsia="el-GR"/>
        </w:rPr>
      </w:pPr>
    </w:p>
    <w:p w:rsidR="00A12E38" w:rsidRDefault="00A12E38" w:rsidP="00F465E9">
      <w:pPr>
        <w:spacing w:after="0" w:line="240" w:lineRule="auto"/>
        <w:jc w:val="both"/>
        <w:rPr>
          <w:rFonts w:ascii="Arial Narrow" w:eastAsia="Times New Roman" w:hAnsi="Arial Narrow" w:cs="Times New Roman"/>
          <w:b/>
          <w:sz w:val="24"/>
          <w:szCs w:val="24"/>
          <w:lang w:eastAsia="el-GR"/>
        </w:rPr>
      </w:pPr>
    </w:p>
    <w:p w:rsidR="00A12E38" w:rsidRDefault="00A12E38" w:rsidP="00F465E9">
      <w:pPr>
        <w:spacing w:after="0" w:line="240" w:lineRule="auto"/>
        <w:jc w:val="both"/>
        <w:rPr>
          <w:rFonts w:ascii="Arial Narrow" w:eastAsia="Times New Roman" w:hAnsi="Arial Narrow" w:cs="Times New Roman"/>
          <w:b/>
          <w:sz w:val="24"/>
          <w:szCs w:val="24"/>
          <w:lang w:eastAsia="el-GR"/>
        </w:rPr>
      </w:pPr>
    </w:p>
    <w:p w:rsidR="00A12E38" w:rsidRDefault="00A12E38" w:rsidP="00F465E9">
      <w:pPr>
        <w:spacing w:after="0" w:line="240" w:lineRule="auto"/>
        <w:jc w:val="both"/>
        <w:rPr>
          <w:rFonts w:ascii="Arial Narrow" w:eastAsia="Times New Roman" w:hAnsi="Arial Narrow" w:cs="Times New Roman"/>
          <w:b/>
          <w:sz w:val="24"/>
          <w:szCs w:val="24"/>
          <w:lang w:eastAsia="el-GR"/>
        </w:rPr>
      </w:pPr>
    </w:p>
    <w:p w:rsidR="00A12E38" w:rsidRDefault="00A12E38" w:rsidP="00F465E9">
      <w:pPr>
        <w:spacing w:after="0" w:line="240" w:lineRule="auto"/>
        <w:jc w:val="both"/>
        <w:rPr>
          <w:rFonts w:ascii="Arial Narrow" w:eastAsia="Times New Roman" w:hAnsi="Arial Narrow" w:cs="Times New Roman"/>
          <w:b/>
          <w:sz w:val="24"/>
          <w:szCs w:val="24"/>
          <w:lang w:eastAsia="el-GR"/>
        </w:rPr>
      </w:pPr>
    </w:p>
    <w:p w:rsidR="00A12E38" w:rsidRDefault="00A12E38" w:rsidP="00F465E9">
      <w:pPr>
        <w:spacing w:after="0" w:line="240" w:lineRule="auto"/>
        <w:jc w:val="both"/>
        <w:rPr>
          <w:rFonts w:ascii="Arial Narrow" w:eastAsia="Times New Roman" w:hAnsi="Arial Narrow" w:cs="Times New Roman"/>
          <w:b/>
          <w:sz w:val="24"/>
          <w:szCs w:val="24"/>
          <w:lang w:eastAsia="el-GR"/>
        </w:rPr>
      </w:pPr>
    </w:p>
    <w:p w:rsidR="00A12E38" w:rsidRDefault="00A12E38" w:rsidP="00F465E9">
      <w:pPr>
        <w:spacing w:after="0" w:line="240" w:lineRule="auto"/>
        <w:jc w:val="both"/>
        <w:rPr>
          <w:rFonts w:ascii="Arial Narrow" w:eastAsia="Times New Roman" w:hAnsi="Arial Narrow" w:cs="Times New Roman"/>
          <w:b/>
          <w:sz w:val="24"/>
          <w:szCs w:val="24"/>
          <w:lang w:eastAsia="el-GR"/>
        </w:rPr>
      </w:pPr>
    </w:p>
    <w:p w:rsidR="00A12E38" w:rsidRDefault="00A12E38" w:rsidP="00F465E9">
      <w:pPr>
        <w:spacing w:after="0" w:line="240" w:lineRule="auto"/>
        <w:jc w:val="both"/>
        <w:rPr>
          <w:rFonts w:ascii="Arial Narrow" w:eastAsia="Times New Roman" w:hAnsi="Arial Narrow" w:cs="Times New Roman"/>
          <w:b/>
          <w:sz w:val="24"/>
          <w:szCs w:val="24"/>
          <w:lang w:eastAsia="el-GR"/>
        </w:rPr>
      </w:pPr>
    </w:p>
    <w:p w:rsidR="00A12E38" w:rsidRDefault="00A12E38" w:rsidP="00F465E9">
      <w:pPr>
        <w:spacing w:after="0" w:line="240" w:lineRule="auto"/>
        <w:jc w:val="both"/>
        <w:rPr>
          <w:rFonts w:ascii="Arial Narrow" w:eastAsia="Times New Roman" w:hAnsi="Arial Narrow" w:cs="Times New Roman"/>
          <w:b/>
          <w:sz w:val="24"/>
          <w:szCs w:val="24"/>
          <w:lang w:eastAsia="el-GR"/>
        </w:rPr>
      </w:pPr>
    </w:p>
    <w:p w:rsidR="00A12E38" w:rsidRDefault="00A12E38" w:rsidP="00F465E9">
      <w:pPr>
        <w:spacing w:after="0" w:line="240" w:lineRule="auto"/>
        <w:jc w:val="both"/>
        <w:rPr>
          <w:rFonts w:ascii="Arial Narrow" w:eastAsia="Times New Roman" w:hAnsi="Arial Narrow" w:cs="Times New Roman"/>
          <w:b/>
          <w:sz w:val="24"/>
          <w:szCs w:val="24"/>
          <w:lang w:eastAsia="el-GR"/>
        </w:rPr>
      </w:pPr>
    </w:p>
    <w:p w:rsidR="00861231" w:rsidRPr="00861231" w:rsidRDefault="00861231" w:rsidP="00F220F6">
      <w:pPr>
        <w:spacing w:after="0" w:line="240" w:lineRule="auto"/>
        <w:jc w:val="both"/>
        <w:rPr>
          <w:rFonts w:ascii="Arial Narrow" w:eastAsia="Times New Roman" w:hAnsi="Arial Narrow" w:cs="Times New Roman"/>
          <w:b/>
          <w:sz w:val="24"/>
          <w:szCs w:val="24"/>
          <w:lang w:eastAsia="el-GR"/>
        </w:rPr>
      </w:pPr>
    </w:p>
    <w:p w:rsidR="0062301C" w:rsidRPr="0062301C" w:rsidRDefault="0062301C" w:rsidP="0062301C">
      <w:pPr>
        <w:spacing w:after="0" w:line="240" w:lineRule="auto"/>
        <w:jc w:val="both"/>
        <w:rPr>
          <w:rFonts w:ascii="Arial Narrow" w:eastAsia="Times New Roman" w:hAnsi="Arial Narrow" w:cs="Times New Roman"/>
          <w:b/>
          <w:sz w:val="24"/>
          <w:szCs w:val="24"/>
          <w:lang w:eastAsia="el-GR"/>
        </w:rPr>
      </w:pPr>
    </w:p>
    <w:p w:rsidR="0062301C" w:rsidRPr="0062301C" w:rsidRDefault="0062301C" w:rsidP="0062301C">
      <w:pPr>
        <w:spacing w:after="0" w:line="240" w:lineRule="auto"/>
        <w:jc w:val="both"/>
        <w:rPr>
          <w:rFonts w:ascii="Arial Narrow" w:eastAsia="Times New Roman" w:hAnsi="Arial Narrow" w:cs="Times New Roman"/>
          <w:b/>
          <w:sz w:val="24"/>
          <w:szCs w:val="24"/>
          <w:lang w:eastAsia="el-GR"/>
        </w:rPr>
      </w:pPr>
    </w:p>
    <w:p w:rsidR="0062301C" w:rsidRPr="0062301C" w:rsidRDefault="0062301C" w:rsidP="0062301C">
      <w:pPr>
        <w:spacing w:after="0" w:line="240" w:lineRule="auto"/>
        <w:jc w:val="both"/>
        <w:rPr>
          <w:rFonts w:ascii="Arial Narrow" w:eastAsia="Times New Roman" w:hAnsi="Arial Narrow" w:cs="Times New Roman"/>
          <w:b/>
          <w:sz w:val="24"/>
          <w:szCs w:val="24"/>
          <w:lang w:eastAsia="el-GR"/>
        </w:rPr>
      </w:pPr>
    </w:p>
    <w:p w:rsidR="0062301C" w:rsidRPr="0062301C" w:rsidRDefault="0062301C" w:rsidP="0062301C">
      <w:pPr>
        <w:spacing w:after="0" w:line="240" w:lineRule="auto"/>
        <w:jc w:val="both"/>
        <w:rPr>
          <w:rFonts w:ascii="Arial Narrow" w:eastAsia="Times New Roman" w:hAnsi="Arial Narrow" w:cs="Times New Roman"/>
          <w:b/>
          <w:sz w:val="24"/>
          <w:szCs w:val="24"/>
          <w:lang w:eastAsia="el-GR"/>
        </w:rPr>
      </w:pPr>
    </w:p>
    <w:p w:rsidR="00B4410E" w:rsidRPr="00D9139C" w:rsidRDefault="00B4410E" w:rsidP="00B4410E">
      <w:pPr>
        <w:spacing w:after="0" w:line="240" w:lineRule="auto"/>
        <w:jc w:val="both"/>
        <w:rPr>
          <w:rFonts w:ascii="Arial Narrow" w:eastAsia="Times New Roman" w:hAnsi="Arial Narrow" w:cs="Times New Roman"/>
          <w:b/>
          <w:sz w:val="24"/>
          <w:szCs w:val="24"/>
          <w:lang w:eastAsia="el-GR"/>
        </w:rPr>
      </w:pPr>
    </w:p>
    <w:p w:rsidR="00861231" w:rsidRDefault="00F465E9" w:rsidP="00F465E9">
      <w:pPr>
        <w:numPr>
          <w:ilvl w:val="0"/>
          <w:numId w:val="1"/>
        </w:numPr>
        <w:spacing w:after="0" w:line="240" w:lineRule="auto"/>
        <w:jc w:val="both"/>
        <w:rPr>
          <w:rFonts w:ascii="Arial Narrow" w:eastAsia="Times New Roman" w:hAnsi="Arial Narrow" w:cs="Times New Roman"/>
          <w:b/>
          <w:sz w:val="24"/>
          <w:szCs w:val="24"/>
          <w:lang w:eastAsia="el-GR"/>
        </w:rPr>
      </w:pPr>
      <w:r w:rsidRPr="00F465E9">
        <w:rPr>
          <w:rFonts w:ascii="Arial Narrow" w:eastAsia="Times New Roman" w:hAnsi="Arial Narrow" w:cs="Times New Roman"/>
          <w:sz w:val="24"/>
          <w:szCs w:val="24"/>
          <w:lang w:eastAsia="el-GR"/>
        </w:rPr>
        <w:t xml:space="preserve">Από την έρευνα προκύπτει σημαντική υποβάθμιση της ποιότητας ζωής των νοικοκυριών. </w:t>
      </w:r>
      <w:r w:rsidR="009B1220">
        <w:rPr>
          <w:rFonts w:ascii="Arial Narrow" w:eastAsia="Times New Roman" w:hAnsi="Arial Narrow" w:cs="Times New Roman"/>
          <w:b/>
          <w:sz w:val="24"/>
          <w:szCs w:val="24"/>
          <w:lang w:eastAsia="el-GR"/>
        </w:rPr>
        <w:t>Το 67,8</w:t>
      </w:r>
      <w:r w:rsidRPr="00F465E9">
        <w:rPr>
          <w:rFonts w:ascii="Arial Narrow" w:eastAsia="Times New Roman" w:hAnsi="Arial Narrow" w:cs="Times New Roman"/>
          <w:b/>
          <w:sz w:val="24"/>
          <w:szCs w:val="24"/>
          <w:lang w:eastAsia="el-GR"/>
        </w:rPr>
        <w:t xml:space="preserve">% του πληθυσμού δηλώνει ότι </w:t>
      </w:r>
      <w:r w:rsidR="009B1220">
        <w:rPr>
          <w:rFonts w:ascii="Arial Narrow" w:eastAsia="Times New Roman" w:hAnsi="Arial Narrow" w:cs="Times New Roman"/>
          <w:b/>
          <w:sz w:val="24"/>
          <w:szCs w:val="24"/>
          <w:lang w:eastAsia="el-GR"/>
        </w:rPr>
        <w:t xml:space="preserve">έχει αναγκαστεί να </w:t>
      </w:r>
      <w:r w:rsidRPr="00F465E9">
        <w:rPr>
          <w:rFonts w:ascii="Arial Narrow" w:eastAsia="Times New Roman" w:hAnsi="Arial Narrow" w:cs="Times New Roman"/>
          <w:b/>
          <w:sz w:val="24"/>
          <w:szCs w:val="24"/>
          <w:lang w:eastAsia="el-GR"/>
        </w:rPr>
        <w:t>αγοράζει προϊόντα χαμηλότερης ποιότητας</w:t>
      </w:r>
      <w:r w:rsidR="009B1220">
        <w:rPr>
          <w:rFonts w:ascii="Arial Narrow" w:eastAsia="Times New Roman" w:hAnsi="Arial Narrow" w:cs="Times New Roman"/>
          <w:b/>
          <w:sz w:val="24"/>
          <w:szCs w:val="24"/>
          <w:lang w:eastAsia="el-GR"/>
        </w:rPr>
        <w:t xml:space="preserve"> λόγω της οικονομικής κρίσης</w:t>
      </w:r>
      <w:r w:rsidRPr="00F465E9">
        <w:rPr>
          <w:rFonts w:ascii="Arial Narrow" w:eastAsia="Times New Roman" w:hAnsi="Arial Narrow" w:cs="Times New Roman"/>
          <w:b/>
          <w:sz w:val="24"/>
          <w:szCs w:val="24"/>
          <w:lang w:eastAsia="el-GR"/>
        </w:rPr>
        <w:t>. Οξυμένο είναι το πρόβλημα στις πολυμελείς οικογένειες (άνω των 5 ατόμ</w:t>
      </w:r>
      <w:r w:rsidR="009B1220">
        <w:rPr>
          <w:rFonts w:ascii="Arial Narrow" w:eastAsia="Times New Roman" w:hAnsi="Arial Narrow" w:cs="Times New Roman"/>
          <w:b/>
          <w:sz w:val="24"/>
          <w:szCs w:val="24"/>
          <w:lang w:eastAsia="el-GR"/>
        </w:rPr>
        <w:t>ων το ποσοστό ανέρχεται στο 81</w:t>
      </w:r>
      <w:r w:rsidRPr="00F465E9">
        <w:rPr>
          <w:rFonts w:ascii="Arial Narrow" w:eastAsia="Times New Roman" w:hAnsi="Arial Narrow" w:cs="Times New Roman"/>
          <w:b/>
          <w:sz w:val="24"/>
          <w:szCs w:val="24"/>
          <w:lang w:eastAsia="el-GR"/>
        </w:rPr>
        <w:t>%) και στις χαμηλές εισοδηματικά κατηγορίες</w:t>
      </w:r>
      <w:r w:rsidR="009B1220">
        <w:rPr>
          <w:rFonts w:ascii="Arial Narrow" w:eastAsia="Times New Roman" w:hAnsi="Arial Narrow" w:cs="Times New Roman"/>
          <w:b/>
          <w:sz w:val="24"/>
          <w:szCs w:val="24"/>
          <w:lang w:eastAsia="el-GR"/>
        </w:rPr>
        <w:t xml:space="preserve"> (77,8%)</w:t>
      </w:r>
      <w:r w:rsidRPr="00F465E9">
        <w:rPr>
          <w:rFonts w:ascii="Arial Narrow" w:eastAsia="Times New Roman" w:hAnsi="Arial Narrow" w:cs="Times New Roman"/>
          <w:b/>
          <w:sz w:val="24"/>
          <w:szCs w:val="24"/>
          <w:lang w:eastAsia="el-GR"/>
        </w:rPr>
        <w:t xml:space="preserve">. </w:t>
      </w:r>
    </w:p>
    <w:p w:rsidR="00F465E9" w:rsidRDefault="00861231" w:rsidP="00F465E9">
      <w:pPr>
        <w:numPr>
          <w:ilvl w:val="0"/>
          <w:numId w:val="1"/>
        </w:numPr>
        <w:spacing w:after="0" w:line="240" w:lineRule="auto"/>
        <w:jc w:val="both"/>
        <w:rPr>
          <w:rFonts w:ascii="Arial Narrow" w:eastAsia="Times New Roman" w:hAnsi="Arial Narrow" w:cs="Times New Roman"/>
          <w:sz w:val="24"/>
          <w:szCs w:val="24"/>
          <w:lang w:eastAsia="el-GR"/>
        </w:rPr>
      </w:pPr>
      <w:r w:rsidRPr="00861231">
        <w:rPr>
          <w:rFonts w:ascii="Arial Narrow" w:eastAsia="Times New Roman" w:hAnsi="Arial Narrow" w:cs="Times New Roman"/>
          <w:b/>
          <w:sz w:val="24"/>
          <w:szCs w:val="24"/>
          <w:lang w:eastAsia="el-GR"/>
        </w:rPr>
        <w:t>Η μείωση του διαθέσιμου εισοδήματος έχει αναγκάσει πάνω από τα ¾ των νοικοκυριών να περιμένουν  τις περιόδους των εκπτώσεων προκειμένου να προμηθευτούν ακόμη και βασικά είδη.</w:t>
      </w:r>
      <w:r w:rsidRPr="00861231">
        <w:rPr>
          <w:rFonts w:ascii="Arial Narrow" w:eastAsia="Times New Roman" w:hAnsi="Arial Narrow" w:cs="Times New Roman"/>
          <w:sz w:val="24"/>
          <w:szCs w:val="24"/>
          <w:lang w:eastAsia="el-GR"/>
        </w:rPr>
        <w:t xml:space="preserve">  1 στα 10 νοικοκυριά χρησιμοποιεί συστηματικά τα κοινωνικά παντοπωλεία, ενδεικτικό της σοβαρής κοινωνικής κρίσης. Αυξητικές τάσεις παρουσιάζει η προμήθεια αγαθών μέσα από το διαδίκτυο (προσφορές), καθώς και μέσα από τα εναλλακτικά δίκτυα. </w:t>
      </w:r>
    </w:p>
    <w:p w:rsidR="00861231" w:rsidRPr="00861231" w:rsidRDefault="00861231" w:rsidP="00861231">
      <w:pPr>
        <w:spacing w:after="0" w:line="240" w:lineRule="auto"/>
        <w:ind w:left="360"/>
        <w:jc w:val="both"/>
        <w:rPr>
          <w:rFonts w:ascii="Arial Narrow" w:eastAsia="Times New Roman" w:hAnsi="Arial Narrow" w:cs="Times New Roman"/>
          <w:sz w:val="24"/>
          <w:szCs w:val="24"/>
          <w:lang w:eastAsia="el-GR"/>
        </w:rPr>
      </w:pPr>
    </w:p>
    <w:p w:rsidR="00F465E9" w:rsidRDefault="00F465E9" w:rsidP="00F465E9">
      <w:pPr>
        <w:spacing w:after="0" w:line="240" w:lineRule="auto"/>
        <w:ind w:firstLine="720"/>
        <w:jc w:val="both"/>
        <w:rPr>
          <w:rFonts w:ascii="Arial Narrow" w:eastAsia="Times New Roman" w:hAnsi="Arial Narrow" w:cs="Times New Roman"/>
          <w:b/>
          <w:sz w:val="24"/>
          <w:szCs w:val="24"/>
          <w:u w:val="single"/>
          <w:lang w:eastAsia="el-GR"/>
        </w:rPr>
      </w:pPr>
      <w:r w:rsidRPr="00F465E9">
        <w:rPr>
          <w:rFonts w:ascii="Arial Narrow" w:eastAsia="Times New Roman" w:hAnsi="Arial Narrow" w:cs="Times New Roman"/>
          <w:b/>
          <w:sz w:val="24"/>
          <w:szCs w:val="24"/>
          <w:u w:val="single"/>
          <w:lang w:eastAsia="el-GR"/>
        </w:rPr>
        <w:t>Πίνακας 6- Ποιότητα αγαθών μέσα στην κρίση</w:t>
      </w:r>
    </w:p>
    <w:p w:rsidR="00F465E9" w:rsidRPr="009B1220" w:rsidRDefault="009B1220" w:rsidP="009B1220">
      <w:pPr>
        <w:spacing w:after="0" w:line="240" w:lineRule="auto"/>
        <w:ind w:firstLine="720"/>
        <w:jc w:val="both"/>
        <w:rPr>
          <w:rFonts w:ascii="Arial Narrow" w:eastAsia="Times New Roman" w:hAnsi="Arial Narrow" w:cs="Times New Roman"/>
          <w:b/>
          <w:sz w:val="24"/>
          <w:szCs w:val="24"/>
          <w:lang w:eastAsia="el-GR"/>
        </w:rPr>
      </w:pPr>
      <w:r w:rsidRPr="009B1220">
        <w:rPr>
          <w:rFonts w:ascii="Arial Narrow" w:eastAsia="Times New Roman" w:hAnsi="Arial Narrow" w:cs="Times New Roman"/>
          <w:b/>
          <w:sz w:val="24"/>
          <w:szCs w:val="24"/>
          <w:lang w:eastAsia="el-GR"/>
        </w:rPr>
        <w:t>Έχετε αναγκαστεί να αγοράζετε προϊόντα χαμηλότερης ποιότητας λόγω της οικονομικής κρίσης;</w:t>
      </w:r>
    </w:p>
    <w:p w:rsidR="00F465E9" w:rsidRPr="00F465E9" w:rsidRDefault="00C131BE" w:rsidP="003B1F9E">
      <w:pPr>
        <w:spacing w:after="0" w:line="240" w:lineRule="auto"/>
        <w:jc w:val="center"/>
        <w:rPr>
          <w:rFonts w:ascii="Times New Roman" w:eastAsia="Times New Roman" w:hAnsi="Times New Roman" w:cs="Times New Roman"/>
          <w:b/>
          <w:sz w:val="24"/>
          <w:szCs w:val="24"/>
          <w:lang w:eastAsia="el-GR"/>
        </w:rPr>
      </w:pPr>
      <w:r>
        <w:rPr>
          <w:rFonts w:ascii="Times New Roman" w:eastAsia="Times New Roman" w:hAnsi="Times New Roman" w:cs="Times New Roman"/>
          <w:b/>
          <w:noProof/>
          <w:sz w:val="24"/>
          <w:szCs w:val="24"/>
          <w:lang w:eastAsia="el-GR"/>
        </w:rPr>
        <w:drawing>
          <wp:anchor distT="0" distB="0" distL="114300" distR="114300" simplePos="0" relativeHeight="251673600" behindDoc="0" locked="0" layoutInCell="1" allowOverlap="1">
            <wp:simplePos x="0" y="0"/>
            <wp:positionH relativeFrom="column">
              <wp:posOffset>351155</wp:posOffset>
            </wp:positionH>
            <wp:positionV relativeFrom="paragraph">
              <wp:posOffset>38736</wp:posOffset>
            </wp:positionV>
            <wp:extent cx="4752975" cy="2667000"/>
            <wp:effectExtent l="0" t="0" r="0" b="0"/>
            <wp:wrapNone/>
            <wp:docPr id="16" name="Γράφημα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F465E9" w:rsidRPr="00F465E9" w:rsidRDefault="00F465E9" w:rsidP="00F465E9">
      <w:pPr>
        <w:spacing w:after="0" w:line="240" w:lineRule="auto"/>
        <w:rPr>
          <w:rFonts w:ascii="Times New Roman" w:eastAsia="Times New Roman" w:hAnsi="Times New Roman" w:cs="Times New Roman"/>
          <w:b/>
          <w:sz w:val="24"/>
          <w:szCs w:val="24"/>
          <w:lang w:eastAsia="el-GR"/>
        </w:rPr>
      </w:pPr>
    </w:p>
    <w:p w:rsidR="00F465E9" w:rsidRPr="00F465E9" w:rsidRDefault="00F465E9" w:rsidP="00F465E9">
      <w:pPr>
        <w:spacing w:after="0" w:line="240" w:lineRule="auto"/>
        <w:jc w:val="center"/>
        <w:rPr>
          <w:rFonts w:ascii="Times New Roman" w:eastAsia="Times New Roman" w:hAnsi="Times New Roman" w:cs="Times New Roman"/>
          <w:b/>
          <w:sz w:val="24"/>
          <w:szCs w:val="24"/>
          <w:lang w:eastAsia="el-GR"/>
        </w:rPr>
      </w:pPr>
    </w:p>
    <w:p w:rsidR="00F465E9" w:rsidRPr="00F465E9" w:rsidRDefault="00F465E9" w:rsidP="00F465E9">
      <w:pPr>
        <w:spacing w:after="0" w:line="240" w:lineRule="auto"/>
        <w:jc w:val="center"/>
        <w:rPr>
          <w:rFonts w:ascii="Times New Roman" w:eastAsia="Times New Roman" w:hAnsi="Times New Roman" w:cs="Times New Roman"/>
          <w:b/>
          <w:sz w:val="24"/>
          <w:szCs w:val="24"/>
          <w:lang w:eastAsia="el-GR"/>
        </w:rPr>
      </w:pPr>
    </w:p>
    <w:p w:rsidR="00F465E9" w:rsidRPr="00F465E9" w:rsidRDefault="00F465E9" w:rsidP="00F465E9">
      <w:pPr>
        <w:spacing w:after="0" w:line="240" w:lineRule="auto"/>
        <w:ind w:left="720"/>
        <w:jc w:val="both"/>
        <w:rPr>
          <w:rFonts w:ascii="Arial Narrow" w:eastAsia="Times New Roman" w:hAnsi="Arial Narrow" w:cs="Times New Roman"/>
          <w:b/>
          <w:sz w:val="24"/>
          <w:szCs w:val="24"/>
          <w:u w:val="single"/>
          <w:lang w:eastAsia="el-GR"/>
        </w:rPr>
      </w:pPr>
    </w:p>
    <w:p w:rsidR="00F465E9" w:rsidRPr="00F465E9" w:rsidRDefault="00F465E9" w:rsidP="00F465E9">
      <w:pPr>
        <w:spacing w:after="0" w:line="240" w:lineRule="auto"/>
        <w:jc w:val="center"/>
        <w:rPr>
          <w:rFonts w:ascii="Times New Roman" w:eastAsia="Times New Roman" w:hAnsi="Times New Roman" w:cs="Times New Roman"/>
          <w:b/>
          <w:sz w:val="24"/>
          <w:szCs w:val="24"/>
          <w:lang w:eastAsia="el-GR"/>
        </w:rPr>
      </w:pPr>
    </w:p>
    <w:p w:rsidR="0045307E" w:rsidRDefault="0045307E" w:rsidP="00F465E9">
      <w:pPr>
        <w:spacing w:after="0" w:line="240" w:lineRule="auto"/>
        <w:jc w:val="both"/>
        <w:rPr>
          <w:rFonts w:ascii="Arial Narrow" w:eastAsia="Times New Roman" w:hAnsi="Arial Narrow" w:cs="Times New Roman"/>
          <w:b/>
          <w:sz w:val="24"/>
          <w:szCs w:val="24"/>
          <w:u w:val="single"/>
          <w:lang w:eastAsia="el-GR"/>
        </w:rPr>
      </w:pPr>
    </w:p>
    <w:p w:rsidR="0045307E" w:rsidRDefault="0045307E" w:rsidP="00F465E9">
      <w:pPr>
        <w:spacing w:after="0" w:line="240" w:lineRule="auto"/>
        <w:jc w:val="both"/>
        <w:rPr>
          <w:rFonts w:ascii="Arial Narrow" w:eastAsia="Times New Roman" w:hAnsi="Arial Narrow" w:cs="Times New Roman"/>
          <w:b/>
          <w:sz w:val="24"/>
          <w:szCs w:val="24"/>
          <w:u w:val="single"/>
          <w:lang w:eastAsia="el-GR"/>
        </w:rPr>
      </w:pPr>
    </w:p>
    <w:p w:rsidR="0045307E" w:rsidRDefault="0045307E" w:rsidP="00F465E9">
      <w:pPr>
        <w:spacing w:after="0" w:line="240" w:lineRule="auto"/>
        <w:jc w:val="both"/>
        <w:rPr>
          <w:rFonts w:ascii="Arial Narrow" w:eastAsia="Times New Roman" w:hAnsi="Arial Narrow" w:cs="Times New Roman"/>
          <w:b/>
          <w:sz w:val="24"/>
          <w:szCs w:val="24"/>
          <w:u w:val="single"/>
          <w:lang w:eastAsia="el-GR"/>
        </w:rPr>
      </w:pPr>
    </w:p>
    <w:p w:rsidR="0045307E" w:rsidRDefault="0045307E" w:rsidP="00F465E9">
      <w:pPr>
        <w:spacing w:after="0" w:line="240" w:lineRule="auto"/>
        <w:jc w:val="both"/>
        <w:rPr>
          <w:rFonts w:ascii="Arial Narrow" w:eastAsia="Times New Roman" w:hAnsi="Arial Narrow" w:cs="Times New Roman"/>
          <w:b/>
          <w:sz w:val="24"/>
          <w:szCs w:val="24"/>
          <w:u w:val="single"/>
          <w:lang w:eastAsia="el-GR"/>
        </w:rPr>
      </w:pPr>
    </w:p>
    <w:p w:rsidR="00B07029" w:rsidRDefault="00B07029" w:rsidP="00F465E9">
      <w:pPr>
        <w:spacing w:after="0" w:line="240" w:lineRule="auto"/>
        <w:jc w:val="both"/>
        <w:rPr>
          <w:rFonts w:ascii="Arial Narrow" w:eastAsia="Times New Roman" w:hAnsi="Arial Narrow" w:cs="Times New Roman"/>
          <w:b/>
          <w:sz w:val="24"/>
          <w:szCs w:val="24"/>
          <w:u w:val="single"/>
          <w:lang w:eastAsia="el-GR"/>
        </w:rPr>
      </w:pPr>
    </w:p>
    <w:p w:rsidR="00B07029" w:rsidRDefault="00B07029" w:rsidP="00F465E9">
      <w:pPr>
        <w:spacing w:after="0" w:line="240" w:lineRule="auto"/>
        <w:jc w:val="both"/>
        <w:rPr>
          <w:rFonts w:ascii="Arial Narrow" w:eastAsia="Times New Roman" w:hAnsi="Arial Narrow" w:cs="Times New Roman"/>
          <w:b/>
          <w:sz w:val="24"/>
          <w:szCs w:val="24"/>
          <w:u w:val="single"/>
          <w:lang w:eastAsia="el-GR"/>
        </w:rPr>
      </w:pPr>
    </w:p>
    <w:p w:rsidR="003B1F9E" w:rsidRDefault="003B1F9E" w:rsidP="00F465E9">
      <w:pPr>
        <w:spacing w:after="0" w:line="240" w:lineRule="auto"/>
        <w:jc w:val="both"/>
        <w:rPr>
          <w:rFonts w:ascii="Arial Narrow" w:eastAsia="Times New Roman" w:hAnsi="Arial Narrow" w:cs="Times New Roman"/>
          <w:b/>
          <w:sz w:val="24"/>
          <w:szCs w:val="24"/>
          <w:u w:val="single"/>
          <w:lang w:eastAsia="el-GR"/>
        </w:rPr>
      </w:pPr>
    </w:p>
    <w:p w:rsidR="0062301C" w:rsidRDefault="0062301C" w:rsidP="00F465E9">
      <w:pPr>
        <w:spacing w:after="0" w:line="240" w:lineRule="auto"/>
        <w:jc w:val="both"/>
        <w:rPr>
          <w:rFonts w:ascii="Arial Narrow" w:eastAsia="Times New Roman" w:hAnsi="Arial Narrow" w:cs="Times New Roman"/>
          <w:b/>
          <w:sz w:val="24"/>
          <w:szCs w:val="24"/>
          <w:u w:val="single"/>
          <w:lang w:val="en-US" w:eastAsia="el-GR"/>
        </w:rPr>
      </w:pPr>
    </w:p>
    <w:p w:rsidR="0062301C" w:rsidRDefault="0062301C" w:rsidP="00F465E9">
      <w:pPr>
        <w:spacing w:after="0" w:line="240" w:lineRule="auto"/>
        <w:jc w:val="both"/>
        <w:rPr>
          <w:rFonts w:ascii="Arial Narrow" w:eastAsia="Times New Roman" w:hAnsi="Arial Narrow" w:cs="Times New Roman"/>
          <w:b/>
          <w:sz w:val="24"/>
          <w:szCs w:val="24"/>
          <w:u w:val="single"/>
          <w:lang w:val="en-US" w:eastAsia="el-GR"/>
        </w:rPr>
      </w:pPr>
    </w:p>
    <w:p w:rsidR="00B4410E" w:rsidRDefault="00B4410E" w:rsidP="00F465E9">
      <w:pPr>
        <w:spacing w:after="0" w:line="240" w:lineRule="auto"/>
        <w:jc w:val="both"/>
        <w:rPr>
          <w:rFonts w:ascii="Arial Narrow" w:eastAsia="Times New Roman" w:hAnsi="Arial Narrow" w:cs="Times New Roman"/>
          <w:b/>
          <w:sz w:val="24"/>
          <w:szCs w:val="24"/>
          <w:u w:val="single"/>
          <w:lang w:val="en-US" w:eastAsia="el-GR"/>
        </w:rPr>
      </w:pPr>
    </w:p>
    <w:p w:rsidR="00F465E9" w:rsidRPr="00F465E9" w:rsidRDefault="00861231" w:rsidP="00F465E9">
      <w:pPr>
        <w:spacing w:after="0" w:line="240" w:lineRule="auto"/>
        <w:jc w:val="both"/>
        <w:rPr>
          <w:rFonts w:ascii="Arial Narrow" w:eastAsia="Times New Roman" w:hAnsi="Arial Narrow" w:cs="Times New Roman"/>
          <w:b/>
          <w:sz w:val="24"/>
          <w:szCs w:val="24"/>
          <w:u w:val="single"/>
          <w:lang w:eastAsia="el-GR"/>
        </w:rPr>
      </w:pPr>
      <w:r>
        <w:rPr>
          <w:rFonts w:ascii="Arial Narrow" w:eastAsia="Times New Roman" w:hAnsi="Arial Narrow" w:cs="Times New Roman"/>
          <w:b/>
          <w:sz w:val="24"/>
          <w:szCs w:val="24"/>
          <w:u w:val="single"/>
          <w:lang w:eastAsia="el-GR"/>
        </w:rPr>
        <w:lastRenderedPageBreak/>
        <w:t>ΕΙΔΙΚΑ ΘΕΜΑΤΑ</w:t>
      </w:r>
    </w:p>
    <w:p w:rsidR="00F465E9" w:rsidRPr="00F465E9" w:rsidRDefault="00F465E9" w:rsidP="00F465E9">
      <w:pPr>
        <w:spacing w:after="0" w:line="240" w:lineRule="auto"/>
        <w:jc w:val="both"/>
        <w:rPr>
          <w:rFonts w:ascii="Arial Narrow" w:eastAsia="Times New Roman" w:hAnsi="Arial Narrow" w:cs="Times New Roman"/>
          <w:b/>
          <w:sz w:val="24"/>
          <w:szCs w:val="24"/>
          <w:u w:val="single"/>
          <w:lang w:eastAsia="el-GR"/>
        </w:rPr>
      </w:pPr>
    </w:p>
    <w:p w:rsidR="00F465E9" w:rsidRPr="00F465E9" w:rsidRDefault="004361FB" w:rsidP="00F465E9">
      <w:pPr>
        <w:spacing w:after="0" w:line="240" w:lineRule="auto"/>
        <w:jc w:val="both"/>
        <w:rPr>
          <w:rFonts w:ascii="Arial Narrow" w:eastAsia="Times New Roman" w:hAnsi="Arial Narrow" w:cs="Times New Roman"/>
          <w:b/>
          <w:sz w:val="24"/>
          <w:szCs w:val="24"/>
          <w:u w:val="single"/>
          <w:lang w:eastAsia="el-GR"/>
        </w:rPr>
      </w:pPr>
      <w:r>
        <w:rPr>
          <w:rFonts w:ascii="Arial Narrow" w:eastAsia="Times New Roman" w:hAnsi="Arial Narrow" w:cs="Times New Roman"/>
          <w:b/>
          <w:sz w:val="24"/>
          <w:szCs w:val="24"/>
          <w:u w:val="single"/>
          <w:lang w:eastAsia="el-GR"/>
        </w:rPr>
        <w:t>Ι) Στέγαση-φορολόγηση ακίνητης περιουσίας</w:t>
      </w:r>
    </w:p>
    <w:p w:rsidR="00F465E9" w:rsidRPr="00F465E9" w:rsidRDefault="00F465E9" w:rsidP="00F465E9">
      <w:pPr>
        <w:spacing w:after="0" w:line="240" w:lineRule="auto"/>
        <w:jc w:val="center"/>
        <w:rPr>
          <w:rFonts w:ascii="Times New Roman" w:eastAsia="Times New Roman" w:hAnsi="Times New Roman" w:cs="Times New Roman"/>
          <w:b/>
          <w:sz w:val="24"/>
          <w:szCs w:val="24"/>
          <w:lang w:eastAsia="el-GR"/>
        </w:rPr>
      </w:pPr>
    </w:p>
    <w:p w:rsidR="00F465E9" w:rsidRPr="00861231" w:rsidRDefault="00F465E9" w:rsidP="00861231">
      <w:pPr>
        <w:numPr>
          <w:ilvl w:val="0"/>
          <w:numId w:val="3"/>
        </w:numPr>
        <w:spacing w:after="0" w:line="240" w:lineRule="auto"/>
        <w:jc w:val="both"/>
        <w:rPr>
          <w:rFonts w:ascii="Arial Narrow" w:eastAsia="Times New Roman" w:hAnsi="Arial Narrow" w:cs="Times New Roman"/>
          <w:sz w:val="24"/>
          <w:szCs w:val="24"/>
          <w:lang w:eastAsia="el-GR"/>
        </w:rPr>
      </w:pPr>
      <w:r w:rsidRPr="00861231">
        <w:rPr>
          <w:rFonts w:ascii="Arial Narrow" w:eastAsia="Times New Roman" w:hAnsi="Arial Narrow" w:cs="Times New Roman"/>
          <w:sz w:val="24"/>
          <w:szCs w:val="24"/>
          <w:lang w:eastAsia="el-GR"/>
        </w:rPr>
        <w:t xml:space="preserve">Από την έρευνα επιβεβαιώνεται το υψηλό ποσοστό κατοχής ακίνητης περιουσίας από τα ελληνικά νοικοκυριά. Το </w:t>
      </w:r>
      <w:r w:rsidR="004361FB" w:rsidRPr="00861231">
        <w:rPr>
          <w:rFonts w:ascii="Arial Narrow" w:eastAsia="Times New Roman" w:hAnsi="Arial Narrow" w:cs="Times New Roman"/>
          <w:sz w:val="24"/>
          <w:szCs w:val="24"/>
          <w:lang w:eastAsia="el-GR"/>
        </w:rPr>
        <w:t>90,4</w:t>
      </w:r>
      <w:r w:rsidRPr="00861231">
        <w:rPr>
          <w:rFonts w:ascii="Arial Narrow" w:eastAsia="Times New Roman" w:hAnsi="Arial Narrow" w:cs="Times New Roman"/>
          <w:sz w:val="24"/>
          <w:szCs w:val="24"/>
          <w:lang w:eastAsia="el-GR"/>
        </w:rPr>
        <w:t xml:space="preserve">% του πληθυσμού </w:t>
      </w:r>
      <w:r w:rsidR="004361FB" w:rsidRPr="00861231">
        <w:rPr>
          <w:rFonts w:ascii="Arial Narrow" w:eastAsia="Times New Roman" w:hAnsi="Arial Narrow" w:cs="Times New Roman"/>
          <w:sz w:val="24"/>
          <w:szCs w:val="24"/>
          <w:lang w:eastAsia="el-GR"/>
        </w:rPr>
        <w:t>διαμένει σε ιδιόκτητη κατοικία</w:t>
      </w:r>
      <w:r w:rsidRPr="00861231">
        <w:rPr>
          <w:rFonts w:ascii="Arial Narrow" w:eastAsia="Times New Roman" w:hAnsi="Arial Narrow" w:cs="Times New Roman"/>
          <w:sz w:val="24"/>
          <w:szCs w:val="24"/>
          <w:lang w:eastAsia="el-GR"/>
        </w:rPr>
        <w:t>.</w:t>
      </w:r>
    </w:p>
    <w:p w:rsidR="00F465E9" w:rsidRDefault="004361FB" w:rsidP="00861231">
      <w:pPr>
        <w:numPr>
          <w:ilvl w:val="0"/>
          <w:numId w:val="3"/>
        </w:numPr>
        <w:spacing w:after="0" w:line="240" w:lineRule="auto"/>
        <w:jc w:val="both"/>
        <w:rPr>
          <w:rFonts w:ascii="Arial Narrow" w:eastAsia="Times New Roman" w:hAnsi="Arial Narrow" w:cs="Times New Roman"/>
          <w:sz w:val="24"/>
          <w:szCs w:val="24"/>
          <w:lang w:eastAsia="el-GR"/>
        </w:rPr>
      </w:pPr>
      <w:r>
        <w:rPr>
          <w:rFonts w:ascii="Arial Narrow" w:eastAsia="Times New Roman" w:hAnsi="Arial Narrow" w:cs="Times New Roman"/>
          <w:sz w:val="24"/>
          <w:szCs w:val="24"/>
          <w:lang w:eastAsia="el-GR"/>
        </w:rPr>
        <w:t>Το 25,2</w:t>
      </w:r>
      <w:r w:rsidR="00F465E9" w:rsidRPr="00F465E9">
        <w:rPr>
          <w:rFonts w:ascii="Arial Narrow" w:eastAsia="Times New Roman" w:hAnsi="Arial Narrow" w:cs="Times New Roman"/>
          <w:sz w:val="24"/>
          <w:szCs w:val="24"/>
          <w:lang w:eastAsia="el-GR"/>
        </w:rPr>
        <w:t xml:space="preserve">% των νοικοκυριών που διαμένει σε ιδιόκτητο σπίτι έχει στεγαστικό δάνειο. Αυτό σημαίνει ότι περίπου </w:t>
      </w:r>
      <w:r w:rsidR="00861231">
        <w:rPr>
          <w:rFonts w:ascii="Arial Narrow" w:eastAsia="Times New Roman" w:hAnsi="Arial Narrow" w:cs="Times New Roman"/>
          <w:sz w:val="24"/>
          <w:szCs w:val="24"/>
          <w:lang w:eastAsia="el-GR"/>
        </w:rPr>
        <w:t>900,000</w:t>
      </w:r>
      <w:r w:rsidR="00F465E9" w:rsidRPr="00F465E9">
        <w:rPr>
          <w:rFonts w:ascii="Arial Narrow" w:eastAsia="Times New Roman" w:hAnsi="Arial Narrow" w:cs="Times New Roman"/>
          <w:sz w:val="24"/>
          <w:szCs w:val="24"/>
          <w:lang w:eastAsia="el-GR"/>
        </w:rPr>
        <w:t xml:space="preserve"> νοικοκυριά έχουν δανειακά βάρη στο ακίνητο που διαμένουν. Από τα </w:t>
      </w:r>
      <w:r w:rsidR="00861231">
        <w:rPr>
          <w:rFonts w:ascii="Arial Narrow" w:eastAsia="Times New Roman" w:hAnsi="Arial Narrow" w:cs="Times New Roman"/>
          <w:sz w:val="24"/>
          <w:szCs w:val="24"/>
          <w:lang w:eastAsia="el-GR"/>
        </w:rPr>
        <w:t>900,000</w:t>
      </w:r>
      <w:r w:rsidR="00F465E9" w:rsidRPr="00F465E9">
        <w:rPr>
          <w:rFonts w:ascii="Arial Narrow" w:eastAsia="Times New Roman" w:hAnsi="Arial Narrow" w:cs="Times New Roman"/>
          <w:sz w:val="24"/>
          <w:szCs w:val="24"/>
          <w:lang w:eastAsia="el-GR"/>
        </w:rPr>
        <w:t xml:space="preserve"> νοικοκυριά </w:t>
      </w:r>
      <w:r>
        <w:rPr>
          <w:rFonts w:ascii="Arial Narrow" w:eastAsia="Times New Roman" w:hAnsi="Arial Narrow" w:cs="Times New Roman"/>
          <w:sz w:val="24"/>
          <w:szCs w:val="24"/>
          <w:lang w:eastAsia="el-GR"/>
        </w:rPr>
        <w:t>που έχου</w:t>
      </w:r>
      <w:r w:rsidR="00861231">
        <w:rPr>
          <w:rFonts w:ascii="Arial Narrow" w:eastAsia="Times New Roman" w:hAnsi="Arial Narrow" w:cs="Times New Roman"/>
          <w:sz w:val="24"/>
          <w:szCs w:val="24"/>
          <w:lang w:eastAsia="el-GR"/>
        </w:rPr>
        <w:t>ν στεγαστικό δάνειο, περίπου 150</w:t>
      </w:r>
      <w:r>
        <w:rPr>
          <w:rFonts w:ascii="Arial Narrow" w:eastAsia="Times New Roman" w:hAnsi="Arial Narrow" w:cs="Times New Roman"/>
          <w:sz w:val="24"/>
          <w:szCs w:val="24"/>
          <w:lang w:eastAsia="el-GR"/>
        </w:rPr>
        <w:t>,000 νοικοκυριά (17,0%) έχουν</w:t>
      </w:r>
      <w:r w:rsidR="00F465E9" w:rsidRPr="00F465E9">
        <w:rPr>
          <w:rFonts w:ascii="Arial Narrow" w:eastAsia="Times New Roman" w:hAnsi="Arial Narrow" w:cs="Times New Roman"/>
          <w:sz w:val="24"/>
          <w:szCs w:val="24"/>
          <w:lang w:eastAsia="el-GR"/>
        </w:rPr>
        <w:t xml:space="preserve"> καθυστερημένες οφειλές σε μόνιμη βάση και</w:t>
      </w:r>
      <w:r>
        <w:rPr>
          <w:rFonts w:ascii="Arial Narrow" w:eastAsia="Times New Roman" w:hAnsi="Arial Narrow" w:cs="Times New Roman"/>
          <w:sz w:val="24"/>
          <w:szCs w:val="24"/>
          <w:lang w:eastAsia="el-GR"/>
        </w:rPr>
        <w:t xml:space="preserve"> άλλα</w:t>
      </w:r>
      <w:r w:rsidR="00F465E9" w:rsidRPr="00F465E9">
        <w:rPr>
          <w:rFonts w:ascii="Arial Narrow" w:eastAsia="Times New Roman" w:hAnsi="Arial Narrow" w:cs="Times New Roman"/>
          <w:sz w:val="24"/>
          <w:szCs w:val="24"/>
          <w:lang w:eastAsia="el-GR"/>
        </w:rPr>
        <w:t xml:space="preserve"> </w:t>
      </w:r>
      <w:r>
        <w:rPr>
          <w:rFonts w:ascii="Arial Narrow" w:eastAsia="Times New Roman" w:hAnsi="Arial Narrow" w:cs="Times New Roman"/>
          <w:sz w:val="24"/>
          <w:szCs w:val="24"/>
          <w:lang w:eastAsia="el-GR"/>
        </w:rPr>
        <w:t>150.000 νοικοκυριά (16,2</w:t>
      </w:r>
      <w:r w:rsidR="00F465E9" w:rsidRPr="00F465E9">
        <w:rPr>
          <w:rFonts w:ascii="Arial Narrow" w:eastAsia="Times New Roman" w:hAnsi="Arial Narrow" w:cs="Times New Roman"/>
          <w:sz w:val="24"/>
          <w:szCs w:val="24"/>
          <w:lang w:eastAsia="el-GR"/>
        </w:rPr>
        <w:t xml:space="preserve">%) </w:t>
      </w:r>
      <w:r>
        <w:rPr>
          <w:rFonts w:ascii="Arial Narrow" w:eastAsia="Times New Roman" w:hAnsi="Arial Narrow" w:cs="Times New Roman"/>
          <w:sz w:val="24"/>
          <w:szCs w:val="24"/>
          <w:lang w:eastAsia="el-GR"/>
        </w:rPr>
        <w:t>αποπληρώνουν</w:t>
      </w:r>
      <w:r w:rsidR="00F465E9" w:rsidRPr="00F465E9">
        <w:rPr>
          <w:rFonts w:ascii="Arial Narrow" w:eastAsia="Times New Roman" w:hAnsi="Arial Narrow" w:cs="Times New Roman"/>
          <w:sz w:val="24"/>
          <w:szCs w:val="24"/>
          <w:lang w:eastAsia="el-GR"/>
        </w:rPr>
        <w:t xml:space="preserve"> α</w:t>
      </w:r>
      <w:r w:rsidR="00861231">
        <w:rPr>
          <w:rFonts w:ascii="Arial Narrow" w:eastAsia="Times New Roman" w:hAnsi="Arial Narrow" w:cs="Times New Roman"/>
          <w:sz w:val="24"/>
          <w:szCs w:val="24"/>
          <w:lang w:eastAsia="el-GR"/>
        </w:rPr>
        <w:t>λλά με συχνές καθυστερήσεις.</w:t>
      </w:r>
    </w:p>
    <w:p w:rsidR="003B1F9E" w:rsidRPr="0062301C" w:rsidRDefault="003B1F9E" w:rsidP="003B1F9E">
      <w:pPr>
        <w:numPr>
          <w:ilvl w:val="0"/>
          <w:numId w:val="3"/>
        </w:numPr>
        <w:spacing w:after="0" w:line="240" w:lineRule="auto"/>
        <w:jc w:val="both"/>
        <w:rPr>
          <w:rFonts w:ascii="Arial Narrow" w:eastAsia="Times New Roman" w:hAnsi="Arial Narrow" w:cs="Times New Roman"/>
          <w:sz w:val="24"/>
          <w:szCs w:val="24"/>
          <w:lang w:eastAsia="el-GR"/>
        </w:rPr>
      </w:pPr>
      <w:r>
        <w:rPr>
          <w:rFonts w:ascii="Arial Narrow" w:eastAsia="Times New Roman" w:hAnsi="Arial Narrow" w:cs="Times New Roman"/>
          <w:sz w:val="24"/>
          <w:szCs w:val="24"/>
          <w:lang w:eastAsia="el-GR"/>
        </w:rPr>
        <w:t xml:space="preserve">Μέσα στο 2014, ξεπέρασε το  </w:t>
      </w:r>
      <w:r w:rsidRPr="00A53E33">
        <w:rPr>
          <w:rFonts w:ascii="Arial Narrow" w:eastAsia="Times New Roman" w:hAnsi="Arial Narrow" w:cs="Times New Roman"/>
          <w:sz w:val="24"/>
          <w:szCs w:val="24"/>
          <w:lang w:eastAsia="el-GR"/>
        </w:rPr>
        <w:t>54</w:t>
      </w:r>
      <w:r w:rsidRPr="00F465E9">
        <w:rPr>
          <w:rFonts w:ascii="Arial Narrow" w:eastAsia="Times New Roman" w:hAnsi="Arial Narrow" w:cs="Times New Roman"/>
          <w:sz w:val="24"/>
          <w:szCs w:val="24"/>
          <w:lang w:eastAsia="el-GR"/>
        </w:rPr>
        <w:t>%</w:t>
      </w:r>
      <w:r>
        <w:rPr>
          <w:rFonts w:ascii="Arial Narrow" w:eastAsia="Times New Roman" w:hAnsi="Arial Narrow" w:cs="Times New Roman"/>
          <w:sz w:val="24"/>
          <w:szCs w:val="24"/>
          <w:lang w:eastAsia="el-GR"/>
        </w:rPr>
        <w:t xml:space="preserve"> το ποσοστό</w:t>
      </w:r>
      <w:r w:rsidRPr="00F465E9">
        <w:rPr>
          <w:rFonts w:ascii="Arial Narrow" w:eastAsia="Times New Roman" w:hAnsi="Arial Narrow" w:cs="Times New Roman"/>
          <w:sz w:val="24"/>
          <w:szCs w:val="24"/>
          <w:lang w:eastAsia="el-GR"/>
        </w:rPr>
        <w:t xml:space="preserve"> των νοικοκυριών κλήθηκε να πληρώσει φόρο ακινήτων πάνω από 500 ευρώ</w:t>
      </w:r>
      <w:r>
        <w:rPr>
          <w:rFonts w:ascii="Arial Narrow" w:eastAsia="Times New Roman" w:hAnsi="Arial Narrow" w:cs="Times New Roman"/>
          <w:sz w:val="24"/>
          <w:szCs w:val="24"/>
          <w:lang w:eastAsia="el-GR"/>
        </w:rPr>
        <w:t xml:space="preserve"> για φόρο ακινήτων (Πίνακας 7</w:t>
      </w:r>
      <w:r w:rsidRPr="00F465E9">
        <w:rPr>
          <w:rFonts w:ascii="Arial Narrow" w:eastAsia="Times New Roman" w:hAnsi="Arial Narrow" w:cs="Times New Roman"/>
          <w:sz w:val="24"/>
          <w:szCs w:val="24"/>
          <w:lang w:eastAsia="el-GR"/>
        </w:rPr>
        <w:t>).</w:t>
      </w:r>
      <w:r>
        <w:rPr>
          <w:rFonts w:ascii="Arial Narrow" w:eastAsia="Times New Roman" w:hAnsi="Arial Narrow" w:cs="Times New Roman"/>
          <w:sz w:val="24"/>
          <w:szCs w:val="24"/>
          <w:lang w:eastAsia="el-GR"/>
        </w:rPr>
        <w:t xml:space="preserve"> Το αντίστοιχο ποσοστό το 2013 ήταν 46,8%. Τούτο σημαίνει ότι ο ΕΝΦΙΑ επιβάρυνε πολύ περισσότερο τα νοικοκυριά.</w:t>
      </w:r>
      <w:r w:rsidRPr="00F465E9">
        <w:rPr>
          <w:rFonts w:ascii="Arial Narrow" w:eastAsia="Times New Roman" w:hAnsi="Arial Narrow" w:cs="Times New Roman"/>
          <w:sz w:val="24"/>
          <w:szCs w:val="24"/>
          <w:lang w:eastAsia="el-GR"/>
        </w:rPr>
        <w:t xml:space="preserve"> Αν συνυπολογίσουμε την </w:t>
      </w:r>
      <w:proofErr w:type="spellStart"/>
      <w:r w:rsidRPr="00F465E9">
        <w:rPr>
          <w:rFonts w:ascii="Arial Narrow" w:eastAsia="Times New Roman" w:hAnsi="Arial Narrow" w:cs="Times New Roman"/>
          <w:sz w:val="24"/>
          <w:szCs w:val="24"/>
          <w:lang w:eastAsia="el-GR"/>
        </w:rPr>
        <w:t>υπερφορολόγηση</w:t>
      </w:r>
      <w:proofErr w:type="spellEnd"/>
      <w:r w:rsidRPr="00F465E9">
        <w:rPr>
          <w:rFonts w:ascii="Arial Narrow" w:eastAsia="Times New Roman" w:hAnsi="Arial Narrow" w:cs="Times New Roman"/>
          <w:sz w:val="24"/>
          <w:szCs w:val="24"/>
          <w:lang w:eastAsia="el-GR"/>
        </w:rPr>
        <w:t xml:space="preserve"> των εισοδημάτων και τη μεγάλη μείωση</w:t>
      </w:r>
      <w:r>
        <w:rPr>
          <w:rFonts w:ascii="Arial Narrow" w:eastAsia="Times New Roman" w:hAnsi="Arial Narrow" w:cs="Times New Roman"/>
          <w:sz w:val="24"/>
          <w:szCs w:val="24"/>
          <w:lang w:eastAsia="el-GR"/>
        </w:rPr>
        <w:t xml:space="preserve"> των εισοδημάτων συνάγεται ότι  το 60%</w:t>
      </w:r>
      <w:r w:rsidRPr="00F465E9">
        <w:rPr>
          <w:rFonts w:ascii="Arial Narrow" w:eastAsia="Times New Roman" w:hAnsi="Arial Narrow" w:cs="Times New Roman"/>
          <w:sz w:val="24"/>
          <w:szCs w:val="24"/>
          <w:lang w:eastAsia="el-GR"/>
        </w:rPr>
        <w:t xml:space="preserve"> </w:t>
      </w:r>
      <w:r>
        <w:rPr>
          <w:rFonts w:ascii="Arial Narrow" w:eastAsia="Times New Roman" w:hAnsi="Arial Narrow" w:cs="Times New Roman"/>
          <w:sz w:val="24"/>
          <w:szCs w:val="24"/>
          <w:lang w:eastAsia="el-GR"/>
        </w:rPr>
        <w:t>των νοικοκυριών</w:t>
      </w:r>
      <w:r w:rsidRPr="00F465E9">
        <w:rPr>
          <w:rFonts w:ascii="Arial Narrow" w:eastAsia="Times New Roman" w:hAnsi="Arial Narrow" w:cs="Times New Roman"/>
          <w:sz w:val="24"/>
          <w:szCs w:val="24"/>
          <w:lang w:eastAsia="el-GR"/>
        </w:rPr>
        <w:t xml:space="preserve"> επιβαρύνθηκε με φόρο κατοχής ακινήτου αξίας τουλάχιστον ενός μισθού, ο οποίος προφανώς αποσπάστηκε από την</w:t>
      </w:r>
      <w:r>
        <w:rPr>
          <w:rFonts w:ascii="Arial Narrow" w:eastAsia="Times New Roman" w:hAnsi="Arial Narrow" w:cs="Times New Roman"/>
          <w:sz w:val="24"/>
          <w:szCs w:val="24"/>
          <w:lang w:eastAsia="el-GR"/>
        </w:rPr>
        <w:t xml:space="preserve"> κατανάλωση και την</w:t>
      </w:r>
      <w:r w:rsidRPr="00F465E9">
        <w:rPr>
          <w:rFonts w:ascii="Arial Narrow" w:eastAsia="Times New Roman" w:hAnsi="Arial Narrow" w:cs="Times New Roman"/>
          <w:sz w:val="24"/>
          <w:szCs w:val="24"/>
          <w:lang w:eastAsia="el-GR"/>
        </w:rPr>
        <w:t xml:space="preserve"> πραγματική οικονομία.</w:t>
      </w:r>
    </w:p>
    <w:p w:rsidR="00F465E9" w:rsidRPr="00B4410E" w:rsidRDefault="00F220F6" w:rsidP="00F465E9">
      <w:pPr>
        <w:spacing w:after="0" w:line="240" w:lineRule="auto"/>
        <w:jc w:val="both"/>
        <w:rPr>
          <w:rFonts w:ascii="Arial Narrow" w:eastAsia="Times New Roman" w:hAnsi="Arial Narrow" w:cs="Times New Roman"/>
          <w:sz w:val="24"/>
          <w:szCs w:val="24"/>
          <w:lang w:val="en-US" w:eastAsia="el-GR"/>
        </w:rPr>
      </w:pPr>
      <w:r>
        <w:rPr>
          <w:rFonts w:ascii="Arial Narrow" w:eastAsia="Times New Roman" w:hAnsi="Arial Narrow" w:cs="Times New Roman"/>
          <w:noProof/>
          <w:sz w:val="24"/>
          <w:szCs w:val="24"/>
          <w:lang w:eastAsia="el-GR"/>
        </w:rPr>
        <w:drawing>
          <wp:anchor distT="0" distB="0" distL="114300" distR="114300" simplePos="0" relativeHeight="251679744" behindDoc="0" locked="0" layoutInCell="1" allowOverlap="1">
            <wp:simplePos x="0" y="0"/>
            <wp:positionH relativeFrom="column">
              <wp:posOffset>408305</wp:posOffset>
            </wp:positionH>
            <wp:positionV relativeFrom="paragraph">
              <wp:posOffset>132080</wp:posOffset>
            </wp:positionV>
            <wp:extent cx="4438650" cy="2305050"/>
            <wp:effectExtent l="0" t="0" r="0" b="0"/>
            <wp:wrapNone/>
            <wp:docPr id="6" name="Γράφημα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F465E9" w:rsidRPr="003B1F9E" w:rsidRDefault="003B1F9E" w:rsidP="003B1F9E">
      <w:pPr>
        <w:spacing w:after="0" w:line="240" w:lineRule="auto"/>
        <w:ind w:left="720"/>
        <w:jc w:val="both"/>
        <w:rPr>
          <w:rFonts w:ascii="Arial Narrow" w:eastAsia="Times New Roman" w:hAnsi="Arial Narrow" w:cs="Times New Roman"/>
          <w:b/>
          <w:sz w:val="24"/>
          <w:szCs w:val="24"/>
          <w:u w:val="single"/>
          <w:lang w:eastAsia="el-GR"/>
        </w:rPr>
      </w:pPr>
      <w:r>
        <w:rPr>
          <w:rFonts w:ascii="Arial Narrow" w:eastAsia="Times New Roman" w:hAnsi="Arial Narrow" w:cs="Times New Roman"/>
          <w:b/>
          <w:sz w:val="24"/>
          <w:szCs w:val="24"/>
          <w:u w:val="single"/>
          <w:lang w:eastAsia="el-GR"/>
        </w:rPr>
        <w:t>Πίνακας 7</w:t>
      </w:r>
      <w:r w:rsidRPr="00F465E9">
        <w:rPr>
          <w:rFonts w:ascii="Arial Narrow" w:eastAsia="Times New Roman" w:hAnsi="Arial Narrow" w:cs="Times New Roman"/>
          <w:b/>
          <w:sz w:val="24"/>
          <w:szCs w:val="24"/>
          <w:u w:val="single"/>
          <w:lang w:eastAsia="el-GR"/>
        </w:rPr>
        <w:t xml:space="preserve"> - Φόροι που καταβλήθηκαν το </w:t>
      </w:r>
      <w:r>
        <w:rPr>
          <w:rFonts w:ascii="Arial Narrow" w:eastAsia="Times New Roman" w:hAnsi="Arial Narrow" w:cs="Times New Roman"/>
          <w:b/>
          <w:sz w:val="24"/>
          <w:szCs w:val="24"/>
          <w:u w:val="single"/>
          <w:lang w:eastAsia="el-GR"/>
        </w:rPr>
        <w:t>201</w:t>
      </w:r>
      <w:r w:rsidRPr="00A53E33">
        <w:rPr>
          <w:rFonts w:ascii="Arial Narrow" w:eastAsia="Times New Roman" w:hAnsi="Arial Narrow" w:cs="Times New Roman"/>
          <w:b/>
          <w:sz w:val="24"/>
          <w:szCs w:val="24"/>
          <w:u w:val="single"/>
          <w:lang w:eastAsia="el-GR"/>
        </w:rPr>
        <w:t>4</w:t>
      </w:r>
      <w:r w:rsidRPr="00F465E9">
        <w:rPr>
          <w:rFonts w:ascii="Arial Narrow" w:eastAsia="Times New Roman" w:hAnsi="Arial Narrow" w:cs="Times New Roman"/>
          <w:b/>
          <w:sz w:val="24"/>
          <w:szCs w:val="24"/>
          <w:u w:val="single"/>
          <w:lang w:eastAsia="el-GR"/>
        </w:rPr>
        <w:t xml:space="preserve"> για ακίνητη περιουσία</w:t>
      </w:r>
    </w:p>
    <w:p w:rsidR="00F465E9" w:rsidRPr="00F465E9" w:rsidRDefault="00F465E9" w:rsidP="00F465E9">
      <w:pPr>
        <w:spacing w:after="0" w:line="240" w:lineRule="auto"/>
        <w:jc w:val="both"/>
        <w:rPr>
          <w:rFonts w:ascii="Arial Narrow" w:eastAsia="Times New Roman" w:hAnsi="Arial Narrow" w:cs="Times New Roman"/>
          <w:sz w:val="24"/>
          <w:szCs w:val="24"/>
          <w:lang w:eastAsia="el-GR"/>
        </w:rPr>
      </w:pPr>
    </w:p>
    <w:p w:rsidR="00F465E9" w:rsidRPr="00F465E9" w:rsidRDefault="00F465E9" w:rsidP="00F465E9">
      <w:pPr>
        <w:spacing w:after="0" w:line="240" w:lineRule="auto"/>
        <w:jc w:val="both"/>
        <w:rPr>
          <w:rFonts w:ascii="Arial Narrow" w:eastAsia="Times New Roman" w:hAnsi="Arial Narrow" w:cs="Times New Roman"/>
          <w:sz w:val="24"/>
          <w:szCs w:val="24"/>
          <w:lang w:eastAsia="el-GR"/>
        </w:rPr>
      </w:pPr>
    </w:p>
    <w:p w:rsidR="00F465E9" w:rsidRPr="00F465E9" w:rsidRDefault="00F465E9" w:rsidP="00F465E9">
      <w:pPr>
        <w:spacing w:after="0" w:line="240" w:lineRule="auto"/>
        <w:jc w:val="both"/>
        <w:rPr>
          <w:rFonts w:ascii="Arial Narrow" w:eastAsia="Times New Roman" w:hAnsi="Arial Narrow" w:cs="Times New Roman"/>
          <w:sz w:val="24"/>
          <w:szCs w:val="24"/>
          <w:lang w:eastAsia="el-GR"/>
        </w:rPr>
      </w:pPr>
    </w:p>
    <w:p w:rsidR="00F465E9" w:rsidRPr="00F465E9" w:rsidRDefault="00F465E9" w:rsidP="00F465E9">
      <w:pPr>
        <w:spacing w:after="0" w:line="240" w:lineRule="auto"/>
        <w:jc w:val="both"/>
        <w:rPr>
          <w:rFonts w:ascii="Arial Narrow" w:eastAsia="Times New Roman" w:hAnsi="Arial Narrow" w:cs="Times New Roman"/>
          <w:sz w:val="24"/>
          <w:szCs w:val="24"/>
          <w:lang w:eastAsia="el-GR"/>
        </w:rPr>
      </w:pPr>
    </w:p>
    <w:p w:rsidR="00F465E9" w:rsidRPr="00F465E9" w:rsidRDefault="00F465E9" w:rsidP="00F465E9">
      <w:pPr>
        <w:spacing w:after="0" w:line="240" w:lineRule="auto"/>
        <w:jc w:val="both"/>
        <w:rPr>
          <w:rFonts w:ascii="Arial Narrow" w:eastAsia="Times New Roman" w:hAnsi="Arial Narrow" w:cs="Times New Roman"/>
          <w:sz w:val="24"/>
          <w:szCs w:val="24"/>
          <w:lang w:eastAsia="el-GR"/>
        </w:rPr>
      </w:pPr>
    </w:p>
    <w:p w:rsidR="00F465E9" w:rsidRPr="00F465E9" w:rsidRDefault="00F465E9" w:rsidP="00F465E9">
      <w:pPr>
        <w:spacing w:after="0" w:line="240" w:lineRule="auto"/>
        <w:jc w:val="both"/>
        <w:rPr>
          <w:rFonts w:ascii="Arial Narrow" w:eastAsia="Times New Roman" w:hAnsi="Arial Narrow" w:cs="Times New Roman"/>
          <w:sz w:val="24"/>
          <w:szCs w:val="24"/>
          <w:lang w:eastAsia="el-GR"/>
        </w:rPr>
      </w:pPr>
    </w:p>
    <w:p w:rsidR="00F465E9" w:rsidRPr="00F465E9" w:rsidRDefault="00F465E9" w:rsidP="00F465E9">
      <w:pPr>
        <w:spacing w:after="0" w:line="240" w:lineRule="auto"/>
        <w:jc w:val="both"/>
        <w:rPr>
          <w:rFonts w:ascii="Arial Narrow" w:eastAsia="Times New Roman" w:hAnsi="Arial Narrow" w:cs="Times New Roman"/>
          <w:sz w:val="24"/>
          <w:szCs w:val="24"/>
          <w:lang w:eastAsia="el-GR"/>
        </w:rPr>
      </w:pPr>
    </w:p>
    <w:p w:rsidR="00F465E9" w:rsidRPr="00F465E9" w:rsidRDefault="00F465E9" w:rsidP="00F465E9">
      <w:pPr>
        <w:spacing w:after="0" w:line="240" w:lineRule="auto"/>
        <w:jc w:val="both"/>
        <w:rPr>
          <w:rFonts w:ascii="Arial Narrow" w:eastAsia="Times New Roman" w:hAnsi="Arial Narrow" w:cs="Times New Roman"/>
          <w:sz w:val="24"/>
          <w:szCs w:val="24"/>
          <w:lang w:eastAsia="el-GR"/>
        </w:rPr>
      </w:pPr>
    </w:p>
    <w:p w:rsidR="00F465E9" w:rsidRPr="00B4410E" w:rsidRDefault="00F465E9" w:rsidP="00F465E9">
      <w:pPr>
        <w:spacing w:after="0" w:line="240" w:lineRule="auto"/>
        <w:rPr>
          <w:rFonts w:ascii="Arial Narrow" w:eastAsia="Times New Roman" w:hAnsi="Arial Narrow" w:cs="Times New Roman"/>
          <w:sz w:val="24"/>
          <w:szCs w:val="24"/>
          <w:lang w:eastAsia="el-GR"/>
        </w:rPr>
      </w:pPr>
    </w:p>
    <w:p w:rsidR="003B1F9E" w:rsidRDefault="003B1F9E" w:rsidP="00F465E9">
      <w:pPr>
        <w:spacing w:after="0" w:line="240" w:lineRule="auto"/>
        <w:rPr>
          <w:rFonts w:ascii="Arial Narrow" w:eastAsia="Times New Roman" w:hAnsi="Arial Narrow" w:cs="Times New Roman"/>
          <w:sz w:val="24"/>
          <w:szCs w:val="24"/>
          <w:lang w:val="en-US" w:eastAsia="el-GR"/>
        </w:rPr>
      </w:pPr>
    </w:p>
    <w:p w:rsidR="00B4410E" w:rsidRPr="00B4410E" w:rsidRDefault="00B4410E" w:rsidP="00F465E9">
      <w:pPr>
        <w:spacing w:after="0" w:line="240" w:lineRule="auto"/>
        <w:rPr>
          <w:rFonts w:ascii="Arial Narrow" w:eastAsia="Times New Roman" w:hAnsi="Arial Narrow" w:cs="Times New Roman"/>
          <w:sz w:val="24"/>
          <w:szCs w:val="24"/>
          <w:lang w:val="en-US" w:eastAsia="el-GR"/>
        </w:rPr>
      </w:pPr>
    </w:p>
    <w:p w:rsidR="00F465E9" w:rsidRPr="00B4410E" w:rsidRDefault="003B1F9E" w:rsidP="00B4410E">
      <w:pPr>
        <w:numPr>
          <w:ilvl w:val="0"/>
          <w:numId w:val="3"/>
        </w:numPr>
        <w:spacing w:after="0" w:line="240" w:lineRule="auto"/>
        <w:jc w:val="both"/>
        <w:rPr>
          <w:rFonts w:ascii="Arial Narrow" w:eastAsia="Times New Roman" w:hAnsi="Arial Narrow" w:cs="Times New Roman"/>
          <w:sz w:val="24"/>
          <w:szCs w:val="24"/>
          <w:lang w:eastAsia="el-GR"/>
        </w:rPr>
      </w:pPr>
      <w:r w:rsidRPr="003B1F9E">
        <w:rPr>
          <w:rFonts w:ascii="Arial Narrow" w:eastAsia="Times New Roman" w:hAnsi="Arial Narrow" w:cs="Times New Roman"/>
          <w:sz w:val="24"/>
          <w:szCs w:val="24"/>
          <w:lang w:eastAsia="el-GR"/>
        </w:rPr>
        <w:t>3 στα 10 νοικοκυριά εκφράζουν φόβο ότι θα χάσουν το σπίτι τους εξ αιτίας τόσο των συσσωρευμένων υποχρεώσεων όσο και των επιπρόσθετων επιβαρύνσεων (δανειακών, φορολογικών και άλλων)</w:t>
      </w:r>
      <w:r>
        <w:rPr>
          <w:rFonts w:ascii="Arial Narrow" w:eastAsia="Times New Roman" w:hAnsi="Arial Narrow" w:cs="Times New Roman"/>
          <w:sz w:val="24"/>
          <w:szCs w:val="24"/>
          <w:lang w:eastAsia="el-GR"/>
        </w:rPr>
        <w:t>-πίνακας 8</w:t>
      </w:r>
      <w:r w:rsidRPr="003B1F9E">
        <w:rPr>
          <w:rFonts w:ascii="Arial Narrow" w:eastAsia="Times New Roman" w:hAnsi="Arial Narrow" w:cs="Times New Roman"/>
          <w:sz w:val="24"/>
          <w:szCs w:val="24"/>
          <w:lang w:eastAsia="el-GR"/>
        </w:rPr>
        <w:t xml:space="preserve">. </w:t>
      </w:r>
    </w:p>
    <w:p w:rsidR="00F465E9" w:rsidRPr="00F465E9" w:rsidRDefault="00F465E9" w:rsidP="00F465E9">
      <w:pPr>
        <w:spacing w:after="0" w:line="240" w:lineRule="auto"/>
        <w:ind w:left="720"/>
        <w:jc w:val="both"/>
        <w:rPr>
          <w:rFonts w:ascii="Arial Narrow" w:eastAsia="Times New Roman" w:hAnsi="Arial Narrow" w:cs="Times New Roman"/>
          <w:sz w:val="24"/>
          <w:szCs w:val="24"/>
          <w:lang w:eastAsia="el-GR"/>
        </w:rPr>
      </w:pPr>
    </w:p>
    <w:p w:rsidR="00A12E38" w:rsidRPr="00B4410E" w:rsidRDefault="003B1F9E" w:rsidP="00B4410E">
      <w:pPr>
        <w:spacing w:after="0" w:line="240" w:lineRule="auto"/>
        <w:ind w:left="720"/>
        <w:jc w:val="both"/>
        <w:rPr>
          <w:rFonts w:ascii="Arial Narrow" w:eastAsia="Times New Roman" w:hAnsi="Arial Narrow" w:cs="Times New Roman"/>
          <w:b/>
          <w:sz w:val="24"/>
          <w:szCs w:val="24"/>
          <w:u w:val="single"/>
          <w:lang w:val="en-US" w:eastAsia="el-GR"/>
        </w:rPr>
      </w:pPr>
      <w:r>
        <w:rPr>
          <w:rFonts w:ascii="Arial Narrow" w:eastAsia="Times New Roman" w:hAnsi="Arial Narrow" w:cs="Times New Roman"/>
          <w:b/>
          <w:sz w:val="24"/>
          <w:szCs w:val="24"/>
          <w:u w:val="single"/>
          <w:lang w:eastAsia="el-GR"/>
        </w:rPr>
        <w:t>Πίνακας 8</w:t>
      </w:r>
      <w:r w:rsidRPr="00F465E9">
        <w:rPr>
          <w:rFonts w:ascii="Arial Narrow" w:eastAsia="Times New Roman" w:hAnsi="Arial Narrow" w:cs="Times New Roman"/>
          <w:b/>
          <w:sz w:val="24"/>
          <w:szCs w:val="24"/>
          <w:u w:val="single"/>
          <w:lang w:eastAsia="el-GR"/>
        </w:rPr>
        <w:t xml:space="preserve"> - Δείκτης ανησυχίας απώλειας ακινήτου</w:t>
      </w:r>
    </w:p>
    <w:p w:rsidR="00A12E38" w:rsidRDefault="00A12E38" w:rsidP="00F465E9">
      <w:pPr>
        <w:spacing w:after="0" w:line="240" w:lineRule="auto"/>
        <w:jc w:val="both"/>
        <w:rPr>
          <w:rFonts w:ascii="Arial Narrow" w:eastAsia="Times New Roman" w:hAnsi="Arial Narrow" w:cs="Times New Roman"/>
          <w:b/>
          <w:sz w:val="24"/>
          <w:szCs w:val="24"/>
          <w:u w:val="single"/>
          <w:lang w:eastAsia="el-GR"/>
        </w:rPr>
      </w:pPr>
    </w:p>
    <w:p w:rsidR="0016590C" w:rsidRDefault="003B1F9E" w:rsidP="0016590C">
      <w:pPr>
        <w:spacing w:after="0" w:line="240" w:lineRule="auto"/>
        <w:ind w:left="720"/>
        <w:jc w:val="both"/>
        <w:rPr>
          <w:rFonts w:ascii="Arial Narrow" w:eastAsia="Times New Roman" w:hAnsi="Arial Narrow" w:cs="Times New Roman"/>
          <w:sz w:val="24"/>
          <w:szCs w:val="24"/>
          <w:lang w:eastAsia="el-GR"/>
        </w:rPr>
      </w:pPr>
      <w:r>
        <w:rPr>
          <w:rFonts w:ascii="Arial Narrow" w:eastAsia="Times New Roman" w:hAnsi="Arial Narrow" w:cs="Times New Roman"/>
          <w:noProof/>
          <w:sz w:val="24"/>
          <w:szCs w:val="24"/>
          <w:lang w:eastAsia="el-GR"/>
        </w:rPr>
        <w:drawing>
          <wp:anchor distT="0" distB="0" distL="114300" distR="114300" simplePos="0" relativeHeight="251677696" behindDoc="0" locked="0" layoutInCell="1" allowOverlap="1">
            <wp:simplePos x="0" y="0"/>
            <wp:positionH relativeFrom="column">
              <wp:posOffset>341630</wp:posOffset>
            </wp:positionH>
            <wp:positionV relativeFrom="paragraph">
              <wp:posOffset>53975</wp:posOffset>
            </wp:positionV>
            <wp:extent cx="5238750" cy="2332355"/>
            <wp:effectExtent l="0" t="0" r="0" b="0"/>
            <wp:wrapNone/>
            <wp:docPr id="17" name="Γράφημα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5B68CC" w:rsidRPr="00F465E9" w:rsidRDefault="005B68CC" w:rsidP="0016590C">
      <w:pPr>
        <w:spacing w:after="0" w:line="240" w:lineRule="auto"/>
        <w:ind w:left="720"/>
        <w:jc w:val="both"/>
        <w:rPr>
          <w:rFonts w:ascii="Arial Narrow" w:eastAsia="Times New Roman" w:hAnsi="Arial Narrow" w:cs="Times New Roman"/>
          <w:sz w:val="24"/>
          <w:szCs w:val="24"/>
          <w:lang w:eastAsia="el-GR"/>
        </w:rPr>
      </w:pPr>
    </w:p>
    <w:p w:rsidR="00F465E9" w:rsidRPr="00F465E9" w:rsidRDefault="00F465E9" w:rsidP="00F465E9">
      <w:pPr>
        <w:spacing w:after="0" w:line="240" w:lineRule="auto"/>
        <w:jc w:val="center"/>
        <w:rPr>
          <w:rFonts w:ascii="Times New Roman" w:eastAsia="Times New Roman" w:hAnsi="Times New Roman" w:cs="Times New Roman"/>
          <w:b/>
          <w:sz w:val="24"/>
          <w:szCs w:val="24"/>
          <w:lang w:eastAsia="el-GR"/>
        </w:rPr>
      </w:pPr>
    </w:p>
    <w:p w:rsidR="00F465E9" w:rsidRPr="00F465E9" w:rsidRDefault="00F465E9" w:rsidP="00F465E9">
      <w:pPr>
        <w:spacing w:after="0" w:line="240" w:lineRule="auto"/>
        <w:ind w:left="720"/>
        <w:jc w:val="both"/>
        <w:rPr>
          <w:rFonts w:ascii="Arial Narrow" w:eastAsia="Times New Roman" w:hAnsi="Arial Narrow" w:cs="Times New Roman"/>
          <w:sz w:val="24"/>
          <w:szCs w:val="24"/>
          <w:lang w:eastAsia="el-GR"/>
        </w:rPr>
      </w:pPr>
    </w:p>
    <w:p w:rsidR="00F465E9" w:rsidRPr="00F465E9" w:rsidRDefault="00F465E9" w:rsidP="00F465E9">
      <w:pPr>
        <w:spacing w:after="0" w:line="240" w:lineRule="auto"/>
        <w:ind w:left="720"/>
        <w:jc w:val="both"/>
        <w:rPr>
          <w:rFonts w:ascii="Arial Narrow" w:eastAsia="Times New Roman" w:hAnsi="Arial Narrow" w:cs="Times New Roman"/>
          <w:sz w:val="24"/>
          <w:szCs w:val="24"/>
          <w:lang w:eastAsia="el-GR"/>
        </w:rPr>
      </w:pPr>
    </w:p>
    <w:p w:rsidR="00F465E9" w:rsidRPr="00F465E9" w:rsidRDefault="00F465E9" w:rsidP="00F465E9">
      <w:pPr>
        <w:spacing w:after="0" w:line="240" w:lineRule="auto"/>
        <w:ind w:left="720"/>
        <w:jc w:val="both"/>
        <w:rPr>
          <w:rFonts w:ascii="Arial Narrow" w:eastAsia="Times New Roman" w:hAnsi="Arial Narrow" w:cs="Times New Roman"/>
          <w:b/>
          <w:sz w:val="24"/>
          <w:szCs w:val="24"/>
          <w:u w:val="single"/>
          <w:lang w:eastAsia="el-GR"/>
        </w:rPr>
      </w:pPr>
    </w:p>
    <w:p w:rsidR="00F465E9" w:rsidRPr="00F465E9" w:rsidRDefault="00F465E9" w:rsidP="00F465E9">
      <w:pPr>
        <w:spacing w:after="0" w:line="240" w:lineRule="auto"/>
        <w:ind w:left="720"/>
        <w:jc w:val="both"/>
        <w:rPr>
          <w:rFonts w:ascii="Arial Narrow" w:eastAsia="Times New Roman" w:hAnsi="Arial Narrow" w:cs="Times New Roman"/>
          <w:b/>
          <w:sz w:val="24"/>
          <w:szCs w:val="24"/>
          <w:u w:val="single"/>
          <w:lang w:eastAsia="el-GR"/>
        </w:rPr>
      </w:pPr>
    </w:p>
    <w:p w:rsidR="00F465E9" w:rsidRPr="00F465E9" w:rsidRDefault="00F465E9" w:rsidP="00F465E9">
      <w:pPr>
        <w:spacing w:after="0" w:line="240" w:lineRule="auto"/>
        <w:ind w:left="720"/>
        <w:jc w:val="both"/>
        <w:rPr>
          <w:rFonts w:ascii="Arial Narrow" w:eastAsia="Times New Roman" w:hAnsi="Arial Narrow" w:cs="Times New Roman"/>
          <w:sz w:val="24"/>
          <w:szCs w:val="24"/>
          <w:lang w:eastAsia="el-GR"/>
        </w:rPr>
      </w:pPr>
    </w:p>
    <w:p w:rsidR="00C131BE" w:rsidRDefault="00C131BE" w:rsidP="00861231">
      <w:pPr>
        <w:spacing w:after="0" w:line="240" w:lineRule="auto"/>
        <w:rPr>
          <w:rFonts w:ascii="Arial Narrow" w:eastAsia="Times New Roman" w:hAnsi="Arial Narrow" w:cs="Times New Roman"/>
          <w:sz w:val="24"/>
          <w:szCs w:val="24"/>
          <w:lang w:eastAsia="el-GR"/>
        </w:rPr>
      </w:pPr>
    </w:p>
    <w:p w:rsidR="003B1F9E" w:rsidRDefault="003B1F9E" w:rsidP="00861231">
      <w:pPr>
        <w:spacing w:after="0" w:line="240" w:lineRule="auto"/>
        <w:rPr>
          <w:rFonts w:ascii="Arial Narrow" w:eastAsia="Times New Roman" w:hAnsi="Arial Narrow" w:cs="Times New Roman"/>
          <w:sz w:val="24"/>
          <w:szCs w:val="24"/>
          <w:lang w:eastAsia="el-GR"/>
        </w:rPr>
      </w:pPr>
    </w:p>
    <w:p w:rsidR="003B1F9E" w:rsidRDefault="003B1F9E" w:rsidP="00861231">
      <w:pPr>
        <w:spacing w:after="0" w:line="240" w:lineRule="auto"/>
        <w:rPr>
          <w:rFonts w:ascii="Arial Narrow" w:eastAsia="Times New Roman" w:hAnsi="Arial Narrow" w:cs="Times New Roman"/>
          <w:sz w:val="24"/>
          <w:szCs w:val="24"/>
          <w:lang w:eastAsia="el-GR"/>
        </w:rPr>
      </w:pPr>
    </w:p>
    <w:p w:rsidR="003B1F9E" w:rsidRDefault="003B1F9E" w:rsidP="00861231">
      <w:pPr>
        <w:spacing w:after="0" w:line="240" w:lineRule="auto"/>
        <w:rPr>
          <w:rFonts w:ascii="Arial Narrow" w:eastAsia="Times New Roman" w:hAnsi="Arial Narrow" w:cs="Times New Roman"/>
          <w:sz w:val="24"/>
          <w:szCs w:val="24"/>
          <w:lang w:eastAsia="el-GR"/>
        </w:rPr>
      </w:pPr>
    </w:p>
    <w:p w:rsidR="003B1F9E" w:rsidRPr="00B4410E" w:rsidRDefault="003B1F9E" w:rsidP="00861231">
      <w:pPr>
        <w:spacing w:after="0" w:line="240" w:lineRule="auto"/>
        <w:rPr>
          <w:rFonts w:ascii="Arial Narrow" w:eastAsia="Times New Roman" w:hAnsi="Arial Narrow" w:cs="Times New Roman"/>
          <w:sz w:val="24"/>
          <w:szCs w:val="24"/>
          <w:lang w:val="en-US" w:eastAsia="el-GR"/>
        </w:rPr>
      </w:pPr>
    </w:p>
    <w:p w:rsidR="003B1F9E" w:rsidRDefault="003B1F9E" w:rsidP="00861231">
      <w:pPr>
        <w:spacing w:after="0" w:line="240" w:lineRule="auto"/>
        <w:rPr>
          <w:rFonts w:ascii="Arial Narrow" w:eastAsia="Times New Roman" w:hAnsi="Arial Narrow" w:cs="Times New Roman"/>
          <w:sz w:val="24"/>
          <w:szCs w:val="24"/>
          <w:lang w:eastAsia="el-GR"/>
        </w:rPr>
      </w:pPr>
    </w:p>
    <w:p w:rsidR="00C131BE" w:rsidRPr="00B67ADA" w:rsidRDefault="00C131BE" w:rsidP="00F465E9">
      <w:pPr>
        <w:spacing w:after="0" w:line="240" w:lineRule="auto"/>
        <w:jc w:val="center"/>
        <w:rPr>
          <w:rFonts w:ascii="Arial Narrow" w:eastAsia="Times New Roman" w:hAnsi="Arial Narrow" w:cs="Times New Roman"/>
          <w:sz w:val="24"/>
          <w:szCs w:val="24"/>
          <w:lang w:eastAsia="el-GR"/>
        </w:rPr>
      </w:pPr>
    </w:p>
    <w:p w:rsidR="00F465E9" w:rsidRPr="00B67ADA" w:rsidRDefault="00F465E9" w:rsidP="00F465E9">
      <w:pPr>
        <w:spacing w:after="0" w:line="240" w:lineRule="auto"/>
        <w:jc w:val="center"/>
        <w:rPr>
          <w:rFonts w:ascii="Arial Narrow" w:eastAsia="Times New Roman" w:hAnsi="Arial Narrow" w:cs="Times New Roman"/>
          <w:sz w:val="24"/>
          <w:szCs w:val="24"/>
          <w:lang w:eastAsia="el-GR"/>
        </w:rPr>
      </w:pPr>
      <w:r w:rsidRPr="00B67ADA">
        <w:rPr>
          <w:rFonts w:ascii="Arial Narrow" w:eastAsia="Times New Roman" w:hAnsi="Arial Narrow" w:cs="Times New Roman"/>
          <w:sz w:val="24"/>
          <w:szCs w:val="24"/>
          <w:lang w:eastAsia="el-GR"/>
        </w:rPr>
        <w:t>Ο Πρόεδρος του Δ.Σ.</w:t>
      </w:r>
    </w:p>
    <w:p w:rsidR="00554E8F" w:rsidRPr="00B4410E" w:rsidRDefault="00F465E9" w:rsidP="00B4410E">
      <w:pPr>
        <w:spacing w:after="0" w:line="240" w:lineRule="auto"/>
        <w:jc w:val="center"/>
        <w:rPr>
          <w:rFonts w:ascii="Arial Narrow" w:eastAsia="Times New Roman" w:hAnsi="Arial Narrow" w:cs="Times New Roman"/>
          <w:sz w:val="24"/>
          <w:szCs w:val="24"/>
          <w:lang w:val="en-US" w:eastAsia="el-GR"/>
        </w:rPr>
      </w:pPr>
      <w:r w:rsidRPr="00F465E9">
        <w:rPr>
          <w:rFonts w:ascii="Arial Narrow" w:eastAsia="Times New Roman" w:hAnsi="Arial Narrow" w:cs="Times New Roman"/>
          <w:sz w:val="24"/>
          <w:szCs w:val="24"/>
          <w:lang w:eastAsia="el-GR"/>
        </w:rPr>
        <w:t>Γιώργος Καββαθάς</w:t>
      </w:r>
    </w:p>
    <w:sectPr w:rsidR="00554E8F" w:rsidRPr="00B4410E" w:rsidSect="00751238">
      <w:footerReference w:type="even" r:id="rId19"/>
      <w:footerReference w:type="default" r:id="rId20"/>
      <w:pgSz w:w="11906" w:h="16838"/>
      <w:pgMar w:top="510" w:right="924" w:bottom="675" w:left="902" w:header="709" w:footer="93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291" w:rsidRDefault="00242291">
      <w:pPr>
        <w:spacing w:after="0" w:line="240" w:lineRule="auto"/>
      </w:pPr>
      <w:r>
        <w:separator/>
      </w:r>
    </w:p>
  </w:endnote>
  <w:endnote w:type="continuationSeparator" w:id="0">
    <w:p w:rsidR="00242291" w:rsidRDefault="002422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1"/>
    <w:family w:val="swiss"/>
    <w:pitch w:val="variable"/>
    <w:sig w:usb0="00000287" w:usb1="000008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A1"/>
    <w:family w:val="swiss"/>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238" w:rsidRDefault="00394F5B" w:rsidP="00751238">
    <w:pPr>
      <w:pStyle w:val="a3"/>
      <w:framePr w:wrap="around" w:vAnchor="text" w:hAnchor="margin" w:xAlign="right" w:y="1"/>
      <w:rPr>
        <w:rStyle w:val="a4"/>
      </w:rPr>
    </w:pPr>
    <w:r>
      <w:rPr>
        <w:rStyle w:val="a4"/>
      </w:rPr>
      <w:fldChar w:fldCharType="begin"/>
    </w:r>
    <w:r w:rsidR="00751238">
      <w:rPr>
        <w:rStyle w:val="a4"/>
      </w:rPr>
      <w:instrText xml:space="preserve">PAGE  </w:instrText>
    </w:r>
    <w:r>
      <w:rPr>
        <w:rStyle w:val="a4"/>
      </w:rPr>
      <w:fldChar w:fldCharType="end"/>
    </w:r>
  </w:p>
  <w:p w:rsidR="00751238" w:rsidRDefault="00751238" w:rsidP="0075123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238" w:rsidRDefault="00394F5B" w:rsidP="00751238">
    <w:pPr>
      <w:pStyle w:val="a3"/>
      <w:framePr w:wrap="around" w:vAnchor="text" w:hAnchor="margin" w:xAlign="right" w:y="1"/>
      <w:rPr>
        <w:rStyle w:val="a4"/>
      </w:rPr>
    </w:pPr>
    <w:r>
      <w:rPr>
        <w:rStyle w:val="a4"/>
      </w:rPr>
      <w:fldChar w:fldCharType="begin"/>
    </w:r>
    <w:r w:rsidR="00751238">
      <w:rPr>
        <w:rStyle w:val="a4"/>
      </w:rPr>
      <w:instrText xml:space="preserve">PAGE  </w:instrText>
    </w:r>
    <w:r>
      <w:rPr>
        <w:rStyle w:val="a4"/>
      </w:rPr>
      <w:fldChar w:fldCharType="separate"/>
    </w:r>
    <w:r w:rsidR="00D9139C">
      <w:rPr>
        <w:rStyle w:val="a4"/>
        <w:noProof/>
      </w:rPr>
      <w:t>4</w:t>
    </w:r>
    <w:r>
      <w:rPr>
        <w:rStyle w:val="a4"/>
      </w:rPr>
      <w:fldChar w:fldCharType="end"/>
    </w:r>
  </w:p>
  <w:p w:rsidR="00751238" w:rsidRDefault="00751238" w:rsidP="00751238">
    <w:pPr>
      <w:pStyle w:val="a3"/>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291" w:rsidRDefault="00242291">
      <w:pPr>
        <w:spacing w:after="0" w:line="240" w:lineRule="auto"/>
      </w:pPr>
      <w:r>
        <w:separator/>
      </w:r>
    </w:p>
  </w:footnote>
  <w:footnote w:type="continuationSeparator" w:id="0">
    <w:p w:rsidR="00242291" w:rsidRDefault="002422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616EF"/>
    <w:multiLevelType w:val="hybridMultilevel"/>
    <w:tmpl w:val="4E628EFE"/>
    <w:lvl w:ilvl="0" w:tplc="2A2648C2">
      <w:start w:val="1"/>
      <w:numFmt w:val="decimal"/>
      <w:lvlText w:val="%1)"/>
      <w:lvlJc w:val="left"/>
      <w:pPr>
        <w:ind w:left="360" w:hanging="360"/>
      </w:pPr>
      <w:rPr>
        <w:rFonts w:ascii="Arial Narrow" w:eastAsia="Times New Roman" w:hAnsi="Arial Narrow" w:cs="Times New Roman" w:hint="default"/>
        <w:b w:val="0"/>
        <w:color w:val="auto"/>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
    <w:nsid w:val="288418F0"/>
    <w:multiLevelType w:val="hybridMultilevel"/>
    <w:tmpl w:val="A860E7BE"/>
    <w:lvl w:ilvl="0" w:tplc="F02433B0">
      <w:start w:val="1"/>
      <w:numFmt w:val="bullet"/>
      <w:lvlText w:val=""/>
      <w:lvlJc w:val="left"/>
      <w:pPr>
        <w:tabs>
          <w:tab w:val="num" w:pos="720"/>
        </w:tabs>
        <w:ind w:left="720" w:hanging="360"/>
      </w:pPr>
      <w:rPr>
        <w:rFonts w:ascii="Symbol" w:hAnsi="Symbol" w:hint="default"/>
        <w:color w:val="000000"/>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7E3F79F3"/>
    <w:multiLevelType w:val="hybridMultilevel"/>
    <w:tmpl w:val="546AD3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465E9"/>
    <w:rsid w:val="000605C6"/>
    <w:rsid w:val="00077FA1"/>
    <w:rsid w:val="000902F7"/>
    <w:rsid w:val="00116713"/>
    <w:rsid w:val="0016590C"/>
    <w:rsid w:val="001C4D2F"/>
    <w:rsid w:val="001C502E"/>
    <w:rsid w:val="00202577"/>
    <w:rsid w:val="00242291"/>
    <w:rsid w:val="0026133F"/>
    <w:rsid w:val="002B4488"/>
    <w:rsid w:val="002D37AD"/>
    <w:rsid w:val="00337E36"/>
    <w:rsid w:val="003576EA"/>
    <w:rsid w:val="00371084"/>
    <w:rsid w:val="00394F5B"/>
    <w:rsid w:val="003B1F9E"/>
    <w:rsid w:val="003E5E13"/>
    <w:rsid w:val="004361FB"/>
    <w:rsid w:val="0044702F"/>
    <w:rsid w:val="0045307E"/>
    <w:rsid w:val="0046108A"/>
    <w:rsid w:val="00504964"/>
    <w:rsid w:val="00554E8F"/>
    <w:rsid w:val="00556A99"/>
    <w:rsid w:val="005B68CC"/>
    <w:rsid w:val="0062301C"/>
    <w:rsid w:val="00627D34"/>
    <w:rsid w:val="006966A2"/>
    <w:rsid w:val="006E511B"/>
    <w:rsid w:val="00723BDC"/>
    <w:rsid w:val="0075058D"/>
    <w:rsid w:val="00751238"/>
    <w:rsid w:val="00757AE9"/>
    <w:rsid w:val="007821C5"/>
    <w:rsid w:val="00792EB6"/>
    <w:rsid w:val="007971FB"/>
    <w:rsid w:val="007B47B6"/>
    <w:rsid w:val="007B6BDA"/>
    <w:rsid w:val="00821F0B"/>
    <w:rsid w:val="00850429"/>
    <w:rsid w:val="0085202D"/>
    <w:rsid w:val="00861231"/>
    <w:rsid w:val="008B60DC"/>
    <w:rsid w:val="008F3A7E"/>
    <w:rsid w:val="009345D3"/>
    <w:rsid w:val="009451F0"/>
    <w:rsid w:val="009509DF"/>
    <w:rsid w:val="009839C7"/>
    <w:rsid w:val="009921C3"/>
    <w:rsid w:val="009A7DB4"/>
    <w:rsid w:val="009B1220"/>
    <w:rsid w:val="009C45D6"/>
    <w:rsid w:val="00A12E38"/>
    <w:rsid w:val="00A53E33"/>
    <w:rsid w:val="00A609AF"/>
    <w:rsid w:val="00AC2C6C"/>
    <w:rsid w:val="00AC75C5"/>
    <w:rsid w:val="00AF5F0A"/>
    <w:rsid w:val="00B06473"/>
    <w:rsid w:val="00B07029"/>
    <w:rsid w:val="00B16610"/>
    <w:rsid w:val="00B4410E"/>
    <w:rsid w:val="00B67ADA"/>
    <w:rsid w:val="00B73CEA"/>
    <w:rsid w:val="00BE1588"/>
    <w:rsid w:val="00BE55C0"/>
    <w:rsid w:val="00C131BE"/>
    <w:rsid w:val="00C17E43"/>
    <w:rsid w:val="00C7657B"/>
    <w:rsid w:val="00D34DAA"/>
    <w:rsid w:val="00D61F91"/>
    <w:rsid w:val="00D769B8"/>
    <w:rsid w:val="00D86436"/>
    <w:rsid w:val="00D9139C"/>
    <w:rsid w:val="00D93876"/>
    <w:rsid w:val="00E1348D"/>
    <w:rsid w:val="00E36CE2"/>
    <w:rsid w:val="00F220F6"/>
    <w:rsid w:val="00F465E9"/>
    <w:rsid w:val="00F65759"/>
    <w:rsid w:val="00F73F45"/>
    <w:rsid w:val="00F75512"/>
    <w:rsid w:val="00F973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2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465E9"/>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uiPriority w:val="99"/>
    <w:rsid w:val="00F465E9"/>
    <w:rPr>
      <w:rFonts w:ascii="Times New Roman" w:eastAsia="Times New Roman" w:hAnsi="Times New Roman" w:cs="Times New Roman"/>
      <w:sz w:val="24"/>
      <w:szCs w:val="24"/>
      <w:lang w:eastAsia="el-GR"/>
    </w:rPr>
  </w:style>
  <w:style w:type="character" w:styleId="a4">
    <w:name w:val="page number"/>
    <w:basedOn w:val="a0"/>
    <w:uiPriority w:val="99"/>
    <w:rsid w:val="00F465E9"/>
    <w:rPr>
      <w:rFonts w:cs="Times New Roman"/>
    </w:rPr>
  </w:style>
  <w:style w:type="paragraph" w:styleId="a5">
    <w:name w:val="Balloon Text"/>
    <w:basedOn w:val="a"/>
    <w:link w:val="Char0"/>
    <w:uiPriority w:val="99"/>
    <w:semiHidden/>
    <w:unhideWhenUsed/>
    <w:rsid w:val="00F465E9"/>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F465E9"/>
    <w:rPr>
      <w:rFonts w:ascii="Tahoma" w:hAnsi="Tahoma" w:cs="Tahoma"/>
      <w:sz w:val="16"/>
      <w:szCs w:val="16"/>
    </w:rPr>
  </w:style>
  <w:style w:type="paragraph" w:styleId="a6">
    <w:name w:val="List Paragraph"/>
    <w:basedOn w:val="a"/>
    <w:uiPriority w:val="34"/>
    <w:qFormat/>
    <w:rsid w:val="002B44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465E9"/>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3"/>
    <w:uiPriority w:val="99"/>
    <w:rsid w:val="00F465E9"/>
    <w:rPr>
      <w:rFonts w:ascii="Times New Roman" w:eastAsia="Times New Roman" w:hAnsi="Times New Roman" w:cs="Times New Roman"/>
      <w:sz w:val="24"/>
      <w:szCs w:val="24"/>
      <w:lang w:eastAsia="el-GR"/>
    </w:rPr>
  </w:style>
  <w:style w:type="character" w:styleId="a4">
    <w:name w:val="page number"/>
    <w:basedOn w:val="a0"/>
    <w:uiPriority w:val="99"/>
    <w:rsid w:val="00F465E9"/>
    <w:rPr>
      <w:rFonts w:cs="Times New Roman"/>
    </w:rPr>
  </w:style>
  <w:style w:type="paragraph" w:styleId="a5">
    <w:name w:val="Balloon Text"/>
    <w:basedOn w:val="a"/>
    <w:link w:val="Char0"/>
    <w:uiPriority w:val="99"/>
    <w:semiHidden/>
    <w:unhideWhenUsed/>
    <w:rsid w:val="00F465E9"/>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F465E9"/>
    <w:rPr>
      <w:rFonts w:ascii="Tahoma" w:hAnsi="Tahoma" w:cs="Tahoma"/>
      <w:sz w:val="16"/>
      <w:szCs w:val="16"/>
    </w:rPr>
  </w:style>
  <w:style w:type="paragraph" w:styleId="a6">
    <w:name w:val="List Paragraph"/>
    <w:basedOn w:val="a"/>
    <w:uiPriority w:val="34"/>
    <w:qFormat/>
    <w:rsid w:val="002B44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mailto:info@imegsevee.g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megsevee.gr" TargetMode="Externa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____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_____________Microsoft_Office_Excel2.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_________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________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________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_____________Microsoft_Office_Excel6.xlsx"/></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______________Microsoft_Office_Excel7.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_________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l-GR"/>
  <c:chart>
    <c:view3D>
      <c:perspective val="0"/>
    </c:view3D>
    <c:plotArea>
      <c:layout>
        <c:manualLayout>
          <c:layoutTarget val="inner"/>
          <c:xMode val="edge"/>
          <c:yMode val="edge"/>
          <c:x val="0.12698714099586481"/>
          <c:y val="0"/>
          <c:w val="0.73784807197013036"/>
          <c:h val="1"/>
        </c:manualLayout>
      </c:layout>
      <c:pie3DChart>
        <c:varyColors val="1"/>
        <c:ser>
          <c:idx val="0"/>
          <c:order val="0"/>
          <c:spPr>
            <a:solidFill>
              <a:schemeClr val="accent1"/>
            </a:solidFill>
            <a:ln w="11809">
              <a:solidFill>
                <a:schemeClr val="tx1"/>
              </a:solidFill>
              <a:prstDash val="solid"/>
            </a:ln>
          </c:spPr>
          <c:explosion val="2"/>
          <c:dPt>
            <c:idx val="0"/>
            <c:explosion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1"/>
            <c:explosion val="9"/>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explosion val="9"/>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dLbl>
              <c:idx val="0"/>
              <c:layout>
                <c:manualLayout>
                  <c:x val="1.3989097516656581E-2"/>
                  <c:y val="-3.7751874090513844E-2"/>
                </c:manualLayout>
              </c:layout>
              <c:dLblPos val="bestFit"/>
              <c:showCatName val="1"/>
              <c:showPercent val="1"/>
            </c:dLbl>
            <c:dLbl>
              <c:idx val="1"/>
              <c:layout>
                <c:manualLayout>
                  <c:x val="-9.8142035130224254E-3"/>
                  <c:y val="3.8467065209955215E-2"/>
                </c:manualLayout>
              </c:layout>
              <c:dLblPos val="bestFit"/>
              <c:showCatName val="1"/>
              <c:showPercent val="1"/>
            </c:dLbl>
            <c:dLbl>
              <c:idx val="2"/>
              <c:layout>
                <c:manualLayout>
                  <c:x val="-5.8618412955047348E-3"/>
                  <c:y val="0"/>
                </c:manualLayout>
              </c:layout>
              <c:dLblPos val="bestFit"/>
              <c:showCatName val="1"/>
              <c:showPercent val="1"/>
            </c:dLbl>
            <c:dLbl>
              <c:idx val="3"/>
              <c:layout>
                <c:manualLayout>
                  <c:x val="3.9357480157493185E-2"/>
                  <c:y val="-2.7682492615609407E-2"/>
                </c:manualLayout>
              </c:layout>
              <c:dLblPos val="bestFit"/>
              <c:showCatName val="1"/>
              <c:showPercent val="1"/>
            </c:dLbl>
            <c:dLbl>
              <c:idx val="4"/>
              <c:layout>
                <c:manualLayout>
                  <c:x val="2.4368307432556597E-2"/>
                  <c:y val="-5.3411779252542924E-2"/>
                </c:manualLayout>
              </c:layout>
              <c:dLblPos val="bestFit"/>
              <c:showCatName val="1"/>
              <c:showPercent val="1"/>
            </c:dLbl>
            <c:dLbl>
              <c:idx val="5"/>
              <c:layout>
                <c:manualLayout>
                  <c:x val="1.4990104591287809E-2"/>
                  <c:y val="-5.5974121573469308E-2"/>
                </c:manualLayout>
              </c:layout>
              <c:dLblPos val="bestFit"/>
              <c:showCatName val="1"/>
              <c:showPercent val="1"/>
            </c:dLbl>
            <c:numFmt formatCode="0.0%" sourceLinked="0"/>
            <c:spPr>
              <a:noFill/>
              <a:ln w="23617">
                <a:noFill/>
              </a:ln>
            </c:spPr>
            <c:txPr>
              <a:bodyPr/>
              <a:lstStyle/>
              <a:p>
                <a:pPr>
                  <a:defRPr sz="900" b="1" i="0" u="none" strike="noStrike" baseline="0">
                    <a:solidFill>
                      <a:srgbClr val="000000"/>
                    </a:solidFill>
                    <a:latin typeface="Tahoma"/>
                    <a:ea typeface="Tahoma"/>
                    <a:cs typeface="Tahoma"/>
                  </a:defRPr>
                </a:pPr>
                <a:endParaRPr lang="el-GR"/>
              </a:p>
            </c:txPr>
            <c:showCatName val="1"/>
            <c:showPercent val="1"/>
          </c:dLbls>
          <c:cat>
            <c:strRef>
              <c:f>Sheet1!$B$1:$D$1</c:f>
              <c:strCache>
                <c:ptCount val="3"/>
                <c:pt idx="0">
                  <c:v>αυξήθηκε</c:v>
                </c:pt>
                <c:pt idx="1">
                  <c:v>μειώθηκε</c:v>
                </c:pt>
                <c:pt idx="2">
                  <c:v>παρέμεινε το ίδιο</c:v>
                </c:pt>
              </c:strCache>
            </c:strRef>
          </c:cat>
          <c:val>
            <c:numRef>
              <c:f>Sheet1!$B$2:$D$2</c:f>
              <c:numCache>
                <c:formatCode>General</c:formatCode>
                <c:ptCount val="3"/>
                <c:pt idx="0">
                  <c:v>0.5</c:v>
                </c:pt>
                <c:pt idx="1">
                  <c:v>93.8</c:v>
                </c:pt>
                <c:pt idx="2">
                  <c:v>5.8</c:v>
                </c:pt>
              </c:numCache>
            </c:numRef>
          </c:val>
        </c:ser>
        <c:dLbls>
          <c:showCatName val="1"/>
          <c:showPercent val="1"/>
        </c:dLbls>
      </c:pie3DChart>
      <c:spPr>
        <a:noFill/>
        <a:ln w="25400">
          <a:noFill/>
        </a:ln>
      </c:spPr>
    </c:plotArea>
    <c:plotVisOnly val="1"/>
    <c:dispBlanksAs val="zero"/>
  </c:chart>
  <c:spPr>
    <a:noFill/>
    <a:ln>
      <a:noFill/>
    </a:ln>
  </c:spPr>
  <c:txPr>
    <a:bodyPr/>
    <a:lstStyle/>
    <a:p>
      <a:pPr>
        <a:defRPr sz="1370" b="1" i="0" u="none" strike="noStrike" baseline="0">
          <a:solidFill>
            <a:srgbClr val="000000"/>
          </a:solidFill>
          <a:latin typeface="Times New Roman"/>
          <a:ea typeface="Times New Roman"/>
          <a:cs typeface="Times New Roman"/>
        </a:defRPr>
      </a:pPr>
      <a:endParaRPr lang="el-G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l-GR"/>
  <c:chart>
    <c:autoTitleDeleted val="1"/>
    <c:view3D>
      <c:hPercent val="144"/>
      <c:depthPercent val="6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26429187954559114"/>
          <c:y val="8.4736158882666834E-2"/>
          <c:w val="0.59168776422031177"/>
          <c:h val="0.73075557778716871"/>
        </c:manualLayout>
      </c:layout>
      <c:bar3DChart>
        <c:barDir val="bar"/>
        <c:grouping val="stacked"/>
        <c:ser>
          <c:idx val="1"/>
          <c:order val="0"/>
          <c:tx>
            <c:strRef>
              <c:f>Sheet1!$A$2</c:f>
              <c:strCache>
                <c:ptCount val="1"/>
              </c:strCache>
            </c:strRef>
          </c:tx>
          <c:spPr>
            <a:gradFill rotWithShape="0">
              <a:gsLst>
                <a:gs pos="0">
                  <a:srgbClr val="008080"/>
                </a:gs>
                <a:gs pos="100000">
                  <a:srgbClr val="FEFEFE">
                    <a:gamma/>
                    <a:tint val="54902"/>
                    <a:invGamma/>
                  </a:srgbClr>
                </a:gs>
              </a:gsLst>
              <a:lin ang="2700000" scaled="1"/>
            </a:gradFill>
            <a:ln w="25402">
              <a:noFill/>
            </a:ln>
          </c:spPr>
          <c:dLbls>
            <c:dLbl>
              <c:idx val="0"/>
              <c:layout>
                <c:manualLayout>
                  <c:x val="0.23765358337841358"/>
                  <c:y val="3.526730211355163E-3"/>
                </c:manualLayout>
              </c:layout>
              <c:showVal val="1"/>
            </c:dLbl>
            <c:dLbl>
              <c:idx val="1"/>
              <c:layout>
                <c:manualLayout>
                  <c:x val="0.16648866983230162"/>
                  <c:y val="2.367039646359999E-3"/>
                </c:manualLayout>
              </c:layout>
              <c:showVal val="1"/>
            </c:dLbl>
            <c:dLbl>
              <c:idx val="2"/>
              <c:layout>
                <c:manualLayout>
                  <c:x val="0.10580052590609602"/>
                  <c:y val="3.6295133197509218E-2"/>
                </c:manualLayout>
              </c:layout>
              <c:showVal val="1"/>
            </c:dLbl>
            <c:dLbl>
              <c:idx val="3"/>
              <c:layout>
                <c:manualLayout>
                  <c:x val="5.1540390155871064E-2"/>
                  <c:y val="2.1977893271108911E-2"/>
                </c:manualLayout>
              </c:layout>
              <c:showVal val="1"/>
            </c:dLbl>
            <c:dLbl>
              <c:idx val="4"/>
              <c:layout>
                <c:manualLayout>
                  <c:x val="4.5067345475014647E-2"/>
                  <c:y val="5.9687647977551802E-3"/>
                </c:manualLayout>
              </c:layout>
              <c:showVal val="1"/>
            </c:dLbl>
            <c:dLbl>
              <c:idx val="5"/>
              <c:layout>
                <c:manualLayout>
                  <c:x val="4.4478833433274009E-2"/>
                  <c:y val="-8.3484751286449967E-3"/>
                </c:manualLayout>
              </c:layout>
              <c:showVal val="1"/>
            </c:dLbl>
            <c:dLbl>
              <c:idx val="6"/>
              <c:layout>
                <c:manualLayout>
                  <c:x val="3.9770614879469292E-2"/>
                  <c:y val="-1.5897525545739047E-2"/>
                </c:manualLayout>
              </c:layout>
              <c:showVal val="1"/>
            </c:dLbl>
            <c:dLbl>
              <c:idx val="7"/>
              <c:layout>
                <c:manualLayout>
                  <c:xMode val="edge"/>
                  <c:yMode val="edge"/>
                  <c:x val="0.2756183745583039"/>
                  <c:y val="0.81725888324873142"/>
                </c:manualLayout>
              </c:layout>
              <c:showVal val="1"/>
            </c:dLbl>
            <c:dLbl>
              <c:idx val="8"/>
              <c:layout>
                <c:manualLayout>
                  <c:xMode val="edge"/>
                  <c:yMode val="edge"/>
                  <c:x val="0.2332155477031802"/>
                  <c:y val="0.62944162436548312"/>
                </c:manualLayout>
              </c:layout>
              <c:showVal val="1"/>
            </c:dLbl>
            <c:dLbl>
              <c:idx val="9"/>
              <c:layout>
                <c:manualLayout>
                  <c:xMode val="edge"/>
                  <c:yMode val="edge"/>
                  <c:x val="0.21201413427561841"/>
                  <c:y val="0.79357021996615906"/>
                </c:manualLayout>
              </c:layout>
              <c:showVal val="1"/>
            </c:dLbl>
            <c:numFmt formatCode="0.0" sourceLinked="0"/>
            <c:spPr>
              <a:noFill/>
              <a:ln w="25402">
                <a:noFill/>
              </a:ln>
            </c:spPr>
            <c:txPr>
              <a:bodyPr/>
              <a:lstStyle/>
              <a:p>
                <a:pPr>
                  <a:defRPr sz="975" b="1" i="0" u="none" strike="noStrike" baseline="0">
                    <a:solidFill>
                      <a:srgbClr val="000000"/>
                    </a:solidFill>
                    <a:latin typeface="Tahoma"/>
                    <a:ea typeface="Tahoma"/>
                    <a:cs typeface="Tahoma"/>
                  </a:defRPr>
                </a:pPr>
                <a:endParaRPr lang="el-GR"/>
              </a:p>
            </c:txPr>
            <c:showVal val="1"/>
          </c:dLbls>
          <c:cat>
            <c:strRef>
              <c:f>Sheet1!$B$1:$H$1</c:f>
              <c:strCache>
                <c:ptCount val="7"/>
                <c:pt idx="0">
                  <c:v>Σύνταξη</c:v>
                </c:pt>
                <c:pt idx="1">
                  <c:v>Μισθός</c:v>
                </c:pt>
                <c:pt idx="2">
                  <c:v>Έσοδα κέρδη από επιχείρηση</c:v>
                </c:pt>
                <c:pt idx="3">
                  <c:v>Βοήθεια από συγγενείς</c:v>
                </c:pt>
                <c:pt idx="4">
                  <c:v>Εισόδημα από ενοίκια</c:v>
                </c:pt>
                <c:pt idx="5">
                  <c:v>Επίδομα</c:v>
                </c:pt>
                <c:pt idx="6">
                  <c:v>Άλλο</c:v>
                </c:pt>
              </c:strCache>
            </c:strRef>
          </c:cat>
          <c:val>
            <c:numRef>
              <c:f>Sheet1!$B$2:$H$2</c:f>
              <c:numCache>
                <c:formatCode>General</c:formatCode>
                <c:ptCount val="7"/>
                <c:pt idx="0">
                  <c:v>52</c:v>
                </c:pt>
                <c:pt idx="1">
                  <c:v>32.1</c:v>
                </c:pt>
                <c:pt idx="2">
                  <c:v>10.1</c:v>
                </c:pt>
                <c:pt idx="3">
                  <c:v>2.7</c:v>
                </c:pt>
                <c:pt idx="4">
                  <c:v>1.4</c:v>
                </c:pt>
                <c:pt idx="5">
                  <c:v>1.3</c:v>
                </c:pt>
                <c:pt idx="6">
                  <c:v>0.5</c:v>
                </c:pt>
              </c:numCache>
            </c:numRef>
          </c:val>
        </c:ser>
        <c:dLbls>
          <c:showVal val="1"/>
        </c:dLbls>
        <c:gapWidth val="70"/>
        <c:gapDepth val="0"/>
        <c:shape val="box"/>
        <c:axId val="108620416"/>
        <c:axId val="108634496"/>
        <c:axId val="0"/>
      </c:bar3DChart>
      <c:catAx>
        <c:axId val="108620416"/>
        <c:scaling>
          <c:orientation val="maxMin"/>
        </c:scaling>
        <c:axPos val="l"/>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Tahoma"/>
                <a:ea typeface="Tahoma"/>
                <a:cs typeface="Tahoma"/>
              </a:defRPr>
            </a:pPr>
            <a:endParaRPr lang="el-GR"/>
          </a:p>
        </c:txPr>
        <c:crossAx val="108634496"/>
        <c:crosses val="autoZero"/>
        <c:auto val="1"/>
        <c:lblAlgn val="ctr"/>
        <c:lblOffset val="100"/>
        <c:tickLblSkip val="1"/>
        <c:tickMarkSkip val="1"/>
      </c:catAx>
      <c:valAx>
        <c:axId val="108634496"/>
        <c:scaling>
          <c:orientation val="minMax"/>
          <c:max val="60"/>
          <c:min val="0"/>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el-GR"/>
          </a:p>
        </c:txPr>
        <c:crossAx val="108620416"/>
        <c:crosses val="max"/>
        <c:crossBetween val="between"/>
      </c:valAx>
      <c:spPr>
        <a:noFill/>
        <a:ln w="25402">
          <a:noFill/>
        </a:ln>
      </c:spPr>
    </c:plotArea>
    <c:plotVisOnly val="1"/>
    <c:dispBlanksAs val="gap"/>
  </c:chart>
  <c:spPr>
    <a:noFill/>
    <a:ln>
      <a:noFill/>
    </a:ln>
  </c:spPr>
  <c:txPr>
    <a:bodyPr/>
    <a:lstStyle/>
    <a:p>
      <a:pPr>
        <a:defRPr sz="2200" b="1" i="0" u="none" strike="noStrike" baseline="0">
          <a:solidFill>
            <a:srgbClr val="000000"/>
          </a:solidFill>
          <a:latin typeface="Times New Roman"/>
          <a:ea typeface="Times New Roman"/>
          <a:cs typeface="Times New Roman"/>
        </a:defRPr>
      </a:pPr>
      <a:endParaRPr lang="el-G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l-GR"/>
  <c:clrMapOvr bg1="lt1" tx1="dk1" bg2="lt2" tx2="dk2" accent1="accent1" accent2="accent2" accent3="accent3" accent4="accent4" accent5="accent5" accent6="accent6" hlink="hlink" folHlink="folHlink"/>
  <c:chart>
    <c:view3D>
      <c:perspective val="0"/>
    </c:view3D>
    <c:plotArea>
      <c:layout>
        <c:manualLayout>
          <c:layoutTarget val="inner"/>
          <c:xMode val="edge"/>
          <c:yMode val="edge"/>
          <c:x val="0.18808191288947487"/>
          <c:y val="5.0561679790026334E-2"/>
          <c:w val="0.67408585055644255"/>
          <c:h val="0.94943820224719289"/>
        </c:manualLayout>
      </c:layout>
      <c:pie3DChart>
        <c:varyColors val="1"/>
        <c:dLbls>
          <c:showCatName val="1"/>
          <c:showPercent val="1"/>
        </c:dLbls>
      </c:pie3DChart>
      <c:spPr>
        <a:noFill/>
        <a:ln w="25400">
          <a:noFill/>
        </a:ln>
      </c:spPr>
    </c:plotArea>
    <c:plotVisOnly val="1"/>
    <c:dispBlanksAs val="zero"/>
  </c:chart>
  <c:spPr>
    <a:noFill/>
    <a:ln>
      <a:noFill/>
    </a:ln>
  </c:spPr>
  <c:txPr>
    <a:bodyPr/>
    <a:lstStyle/>
    <a:p>
      <a:pPr>
        <a:defRPr sz="1370" b="1" i="0" u="none" strike="noStrike" baseline="0">
          <a:solidFill>
            <a:srgbClr val="000000"/>
          </a:solidFill>
          <a:latin typeface="Times New Roman"/>
          <a:ea typeface="Times New Roman"/>
          <a:cs typeface="Times New Roman"/>
        </a:defRPr>
      </a:pPr>
      <a:endParaRPr lang="el-GR"/>
    </a:p>
  </c:txPr>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l-GR"/>
  <c:chart>
    <c:view3D>
      <c:perspective val="0"/>
    </c:view3D>
    <c:plotArea>
      <c:layout>
        <c:manualLayout>
          <c:layoutTarget val="inner"/>
          <c:xMode val="edge"/>
          <c:yMode val="edge"/>
          <c:x val="9.4936708860759528E-2"/>
          <c:y val="0.14642857142857138"/>
          <c:w val="0.75632911392405111"/>
          <c:h val="0.67857142857142905"/>
        </c:manualLayout>
      </c:layout>
      <c:pie3DChart>
        <c:varyColors val="1"/>
        <c:ser>
          <c:idx val="0"/>
          <c:order val="0"/>
          <c:spPr>
            <a:solidFill>
              <a:schemeClr val="accent1"/>
            </a:solidFill>
            <a:ln w="11809">
              <a:solidFill>
                <a:schemeClr val="tx1"/>
              </a:solidFill>
              <a:prstDash val="solid"/>
            </a:ln>
          </c:spPr>
          <c:explosion val="2"/>
          <c:dPt>
            <c:idx val="0"/>
            <c:explosion val="4"/>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dPt>
          <c:dPt>
            <c:idx val="1"/>
            <c:explosion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2"/>
            <c:explosion val="1"/>
            <c:spPr>
              <a:solidFill>
                <a:schemeClr val="bg2">
                  <a:lumMod val="90000"/>
                </a:schemeClr>
              </a:solidFill>
              <a:ln w="23617">
                <a:noFill/>
              </a:ln>
            </c:spPr>
          </c:dPt>
          <c:dLbls>
            <c:dLbl>
              <c:idx val="0"/>
              <c:layout>
                <c:manualLayout>
                  <c:x val="-1.475903509446198E-2"/>
                  <c:y val="-5.0541510498705415E-2"/>
                </c:manualLayout>
              </c:layout>
              <c:dLblPos val="bestFit"/>
              <c:showCatName val="1"/>
              <c:showPercent val="1"/>
            </c:dLbl>
            <c:dLbl>
              <c:idx val="1"/>
              <c:layout>
                <c:manualLayout>
                  <c:x val="-6.3253007547694178E-3"/>
                  <c:y val="5.0541510498705325E-2"/>
                </c:manualLayout>
              </c:layout>
              <c:dLblPos val="bestFit"/>
              <c:showCatName val="1"/>
              <c:showPercent val="1"/>
            </c:dLbl>
            <c:dLbl>
              <c:idx val="2"/>
              <c:layout>
                <c:manualLayout>
                  <c:x val="4.0019868961050677E-2"/>
                  <c:y val="-5.8482763702004989E-2"/>
                </c:manualLayout>
              </c:layout>
              <c:dLblPos val="bestFit"/>
              <c:showCatName val="1"/>
              <c:showPercent val="1"/>
            </c:dLbl>
            <c:dLbl>
              <c:idx val="3"/>
              <c:delete val="1"/>
            </c:dLbl>
            <c:numFmt formatCode="0.0%" sourceLinked="0"/>
            <c:txPr>
              <a:bodyPr/>
              <a:lstStyle/>
              <a:p>
                <a:pPr>
                  <a:defRPr sz="900" b="1" i="0" u="none" strike="noStrike" baseline="0">
                    <a:solidFill>
                      <a:srgbClr val="000000"/>
                    </a:solidFill>
                    <a:latin typeface="Tahoma"/>
                    <a:ea typeface="Tahoma"/>
                    <a:cs typeface="Tahoma"/>
                  </a:defRPr>
                </a:pPr>
                <a:endParaRPr lang="el-GR"/>
              </a:p>
            </c:txPr>
            <c:dLblPos val="outEnd"/>
            <c:showCatName val="1"/>
            <c:showPercent val="1"/>
          </c:dLbls>
          <c:cat>
            <c:strRef>
              <c:f>Sheet1!$B$1:$D$1</c:f>
              <c:strCache>
                <c:ptCount val="3"/>
                <c:pt idx="0">
                  <c:v>Ναι</c:v>
                </c:pt>
                <c:pt idx="1">
                  <c:v>Όχι</c:v>
                </c:pt>
                <c:pt idx="2">
                  <c:v>Δ Α</c:v>
                </c:pt>
              </c:strCache>
            </c:strRef>
          </c:cat>
          <c:val>
            <c:numRef>
              <c:f>Sheet1!$B$2:$D$2</c:f>
              <c:numCache>
                <c:formatCode>General</c:formatCode>
                <c:ptCount val="3"/>
                <c:pt idx="0">
                  <c:v>41.3</c:v>
                </c:pt>
                <c:pt idx="1">
                  <c:v>42.5</c:v>
                </c:pt>
                <c:pt idx="2">
                  <c:v>16.2</c:v>
                </c:pt>
              </c:numCache>
            </c:numRef>
          </c:val>
        </c:ser>
        <c:dLbls>
          <c:showCatName val="1"/>
          <c:showPercent val="1"/>
        </c:dLbls>
      </c:pie3DChart>
      <c:spPr>
        <a:noFill/>
        <a:ln w="25400">
          <a:noFill/>
        </a:ln>
      </c:spPr>
    </c:plotArea>
    <c:plotVisOnly val="1"/>
    <c:dispBlanksAs val="zero"/>
  </c:chart>
  <c:spPr>
    <a:noFill/>
    <a:ln>
      <a:noFill/>
    </a:ln>
  </c:spPr>
  <c:txPr>
    <a:bodyPr/>
    <a:lstStyle/>
    <a:p>
      <a:pPr>
        <a:defRPr sz="1370" b="1" i="0" u="none" strike="noStrike" baseline="0">
          <a:solidFill>
            <a:srgbClr val="000000"/>
          </a:solidFill>
          <a:latin typeface="Times New Roman"/>
          <a:ea typeface="Times New Roman"/>
          <a:cs typeface="Times New Roman"/>
        </a:defRPr>
      </a:pPr>
      <a:endParaRPr lang="el-G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l-GR"/>
  <c:chart>
    <c:autoTitleDeleted val="1"/>
    <c:view3D>
      <c:hPercent val="153"/>
      <c:depthPercent val="6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29477840754471407"/>
          <c:y val="3.259259259259259E-2"/>
          <c:w val="0.68127121223989273"/>
          <c:h val="0.89723680766319358"/>
        </c:manualLayout>
      </c:layout>
      <c:bar3DChart>
        <c:barDir val="bar"/>
        <c:grouping val="stacked"/>
        <c:ser>
          <c:idx val="1"/>
          <c:order val="0"/>
          <c:tx>
            <c:strRef>
              <c:f>Sheet1!$A$2</c:f>
              <c:strCache>
                <c:ptCount val="1"/>
                <c:pt idx="0">
                  <c:v>Περικοπή</c:v>
                </c:pt>
              </c:strCache>
            </c:strRef>
          </c:tx>
          <c:spPr>
            <a:gradFill rotWithShape="0">
              <a:gsLst>
                <a:gs pos="0">
                  <a:srgbClr val="FF0000"/>
                </a:gs>
                <a:gs pos="100000">
                  <a:srgbClr val="FFFEFE">
                    <a:gamma/>
                    <a:tint val="63922"/>
                    <a:invGamma/>
                  </a:srgbClr>
                </a:gs>
              </a:gsLst>
              <a:lin ang="2700000" scaled="1"/>
            </a:gradFill>
            <a:ln w="25400">
              <a:noFill/>
            </a:ln>
          </c:spPr>
          <c:dLbls>
            <c:dLbl>
              <c:idx val="0"/>
              <c:layout>
                <c:manualLayout>
                  <c:x val="4.1456248738138503E-2"/>
                  <c:y val="-3.2643919510061295E-3"/>
                </c:manualLayout>
              </c:layout>
              <c:showVal val="1"/>
            </c:dLbl>
            <c:dLbl>
              <c:idx val="1"/>
              <c:layout>
                <c:manualLayout>
                  <c:x val="4.7104219664849588E-2"/>
                  <c:y val="-1.1389209682123074E-2"/>
                </c:manualLayout>
              </c:layout>
              <c:showVal val="1"/>
            </c:dLbl>
            <c:dLbl>
              <c:idx val="2"/>
              <c:layout>
                <c:manualLayout>
                  <c:x val="4.5900908540278632E-2"/>
                  <c:y val="-4.7001458151064452E-3"/>
                </c:manualLayout>
              </c:layout>
              <c:showVal val="1"/>
            </c:dLbl>
            <c:dLbl>
              <c:idx val="3"/>
              <c:layout>
                <c:manualLayout>
                  <c:x val="4.7925378558449416E-2"/>
                  <c:y val="-3.094546515018959E-3"/>
                </c:manualLayout>
              </c:layout>
              <c:showVal val="1"/>
            </c:dLbl>
            <c:dLbl>
              <c:idx val="4"/>
              <c:layout>
                <c:manualLayout>
                  <c:x val="4.6858873410054458E-2"/>
                  <c:y val="-2.7520559930008731E-3"/>
                </c:manualLayout>
              </c:layout>
              <c:showVal val="1"/>
            </c:dLbl>
            <c:dLbl>
              <c:idx val="5"/>
              <c:layout>
                <c:manualLayout>
                  <c:x val="5.3331233595800533E-2"/>
                  <c:y val="-3.3658792650918092E-3"/>
                </c:manualLayout>
              </c:layout>
              <c:numFmt formatCode="0.0" sourceLinked="0"/>
              <c:spPr>
                <a:noFill/>
                <a:ln w="25400">
                  <a:noFill/>
                </a:ln>
              </c:spPr>
              <c:txPr>
                <a:bodyPr/>
                <a:lstStyle/>
                <a:p>
                  <a:pPr>
                    <a:defRPr sz="875" b="1" i="0" u="none" strike="noStrike" baseline="0">
                      <a:solidFill>
                        <a:srgbClr val="000000"/>
                      </a:solidFill>
                      <a:latin typeface="Tahoma"/>
                      <a:ea typeface="Tahoma"/>
                      <a:cs typeface="Tahoma"/>
                    </a:defRPr>
                  </a:pPr>
                  <a:endParaRPr lang="el-GR"/>
                </a:p>
              </c:txPr>
              <c:showVal val="1"/>
            </c:dLbl>
            <c:dLbl>
              <c:idx val="6"/>
              <c:layout>
                <c:manualLayout>
                  <c:x val="3.5018453462547949E-2"/>
                  <c:y val="-2.1809273840769951E-3"/>
                </c:manualLayout>
              </c:layout>
              <c:numFmt formatCode="0.0" sourceLinked="0"/>
              <c:spPr>
                <a:noFill/>
                <a:ln w="25400">
                  <a:noFill/>
                </a:ln>
              </c:spPr>
              <c:txPr>
                <a:bodyPr/>
                <a:lstStyle/>
                <a:p>
                  <a:pPr>
                    <a:defRPr sz="875" b="1" i="0" u="none" strike="noStrike" baseline="0">
                      <a:solidFill>
                        <a:srgbClr val="000000"/>
                      </a:solidFill>
                      <a:latin typeface="Tahoma"/>
                      <a:ea typeface="Tahoma"/>
                      <a:cs typeface="Tahoma"/>
                    </a:defRPr>
                  </a:pPr>
                  <a:endParaRPr lang="el-GR"/>
                </a:p>
              </c:txPr>
              <c:showVal val="1"/>
            </c:dLbl>
            <c:dLbl>
              <c:idx val="7"/>
              <c:layout>
                <c:manualLayout>
                  <c:x val="4.0687421764587117E-2"/>
                  <c:y val="-6.9226013414989823E-3"/>
                </c:manualLayout>
              </c:layout>
              <c:numFmt formatCode="0.0" sourceLinked="0"/>
              <c:spPr>
                <a:noFill/>
                <a:ln w="25400">
                  <a:noFill/>
                </a:ln>
              </c:spPr>
              <c:txPr>
                <a:bodyPr/>
                <a:lstStyle/>
                <a:p>
                  <a:pPr>
                    <a:defRPr sz="875" b="1" i="0" u="none" strike="noStrike" baseline="0">
                      <a:solidFill>
                        <a:srgbClr val="000000"/>
                      </a:solidFill>
                      <a:latin typeface="Tahoma"/>
                      <a:ea typeface="Tahoma"/>
                      <a:cs typeface="Tahoma"/>
                    </a:defRPr>
                  </a:pPr>
                  <a:endParaRPr lang="el-GR"/>
                </a:p>
              </c:txPr>
              <c:showVal val="1"/>
            </c:dLbl>
            <c:dLbl>
              <c:idx val="8"/>
              <c:layout>
                <c:manualLayout>
                  <c:x val="3.441179083383808E-2"/>
                  <c:y val="-5.7383493729950465E-3"/>
                </c:manualLayout>
              </c:layout>
              <c:numFmt formatCode="0.0" sourceLinked="0"/>
              <c:spPr>
                <a:noFill/>
                <a:ln w="25400">
                  <a:noFill/>
                </a:ln>
              </c:spPr>
              <c:txPr>
                <a:bodyPr/>
                <a:lstStyle/>
                <a:p>
                  <a:pPr>
                    <a:defRPr sz="875" b="1" i="0" u="none" strike="noStrike" baseline="0">
                      <a:solidFill>
                        <a:srgbClr val="000000"/>
                      </a:solidFill>
                      <a:latin typeface="Tahoma"/>
                      <a:ea typeface="Tahoma"/>
                      <a:cs typeface="Tahoma"/>
                    </a:defRPr>
                  </a:pPr>
                  <a:endParaRPr lang="el-GR"/>
                </a:p>
              </c:txPr>
              <c:showVal val="1"/>
            </c:dLbl>
            <c:dLbl>
              <c:idx val="9"/>
              <c:layout>
                <c:manualLayout>
                  <c:x val="4.19267514637593E-2"/>
                  <c:y val="-7.0877806940799109E-3"/>
                </c:manualLayout>
              </c:layout>
              <c:numFmt formatCode="0.0" sourceLinked="0"/>
              <c:spPr>
                <a:noFill/>
                <a:ln w="25400">
                  <a:noFill/>
                </a:ln>
              </c:spPr>
              <c:txPr>
                <a:bodyPr/>
                <a:lstStyle/>
                <a:p>
                  <a:pPr>
                    <a:defRPr sz="875" b="1" i="0" u="none" strike="noStrike" baseline="0">
                      <a:solidFill>
                        <a:srgbClr val="000000"/>
                      </a:solidFill>
                      <a:latin typeface="Tahoma"/>
                      <a:ea typeface="Tahoma"/>
                      <a:cs typeface="Tahoma"/>
                    </a:defRPr>
                  </a:pPr>
                  <a:endParaRPr lang="el-GR"/>
                </a:p>
              </c:txPr>
              <c:showVal val="1"/>
            </c:dLbl>
            <c:numFmt formatCode="0.0" sourceLinked="0"/>
            <c:spPr>
              <a:noFill/>
              <a:ln w="25400">
                <a:noFill/>
              </a:ln>
            </c:spPr>
            <c:txPr>
              <a:bodyPr/>
              <a:lstStyle/>
              <a:p>
                <a:pPr>
                  <a:defRPr sz="800" b="1" i="0" u="none" strike="noStrike" baseline="0">
                    <a:solidFill>
                      <a:srgbClr val="000000"/>
                    </a:solidFill>
                    <a:latin typeface="Tahoma"/>
                    <a:ea typeface="Tahoma"/>
                    <a:cs typeface="Tahoma"/>
                  </a:defRPr>
                </a:pPr>
                <a:endParaRPr lang="el-GR"/>
              </a:p>
            </c:txPr>
            <c:showVal val="1"/>
          </c:dLbls>
          <c:cat>
            <c:strRef>
              <c:f>Sheet1!$B$1:$O$1</c:f>
              <c:strCache>
                <c:ptCount val="14"/>
                <c:pt idx="0">
                  <c:v>Ένδυση - Υπόδηση</c:v>
                </c:pt>
                <c:pt idx="1">
                  <c:v>Για Είδη διατροφής</c:v>
                </c:pt>
                <c:pt idx="2">
                  <c:v>Εστιατόρια ταβέρνες</c:v>
                </c:pt>
                <c:pt idx="3">
                  <c:v>Kαφέ, μπαρ, σινεμά κλπ</c:v>
                </c:pt>
                <c:pt idx="4">
                  <c:v>Δώρα, είδη δώρων</c:v>
                </c:pt>
                <c:pt idx="5">
                  <c:v>Για Μετακίνηση</c:v>
                </c:pt>
                <c:pt idx="6">
                  <c:v>Για Θέρμανση</c:v>
                </c:pt>
                <c:pt idx="7">
                  <c:v>Ταξίδια</c:v>
                </c:pt>
                <c:pt idx="8">
                  <c:v>Για Ποτά  τσιγάρα καπνό</c:v>
                </c:pt>
                <c:pt idx="9">
                  <c:v>Για Οικιακά είδη</c:v>
                </c:pt>
                <c:pt idx="10">
                  <c:v>Για Λογαριασμούς σπιτιού</c:v>
                </c:pt>
                <c:pt idx="11">
                  <c:v>Για Συντήρηση  ασφάλιση ΙΧ</c:v>
                </c:pt>
                <c:pt idx="12">
                  <c:v>Για Υγεία - φάρμακα</c:v>
                </c:pt>
                <c:pt idx="13">
                  <c:v>Εκπαίδευση </c:v>
                </c:pt>
              </c:strCache>
            </c:strRef>
          </c:cat>
          <c:val>
            <c:numRef>
              <c:f>Sheet1!$B$2:$O$2</c:f>
              <c:numCache>
                <c:formatCode>General</c:formatCode>
                <c:ptCount val="14"/>
                <c:pt idx="0">
                  <c:v>52</c:v>
                </c:pt>
                <c:pt idx="1">
                  <c:v>50.9</c:v>
                </c:pt>
                <c:pt idx="2">
                  <c:v>50.7</c:v>
                </c:pt>
                <c:pt idx="3">
                  <c:v>47.7</c:v>
                </c:pt>
                <c:pt idx="4">
                  <c:v>47.7</c:v>
                </c:pt>
                <c:pt idx="5">
                  <c:v>47.1</c:v>
                </c:pt>
                <c:pt idx="6">
                  <c:v>46.5</c:v>
                </c:pt>
                <c:pt idx="7">
                  <c:v>42.4</c:v>
                </c:pt>
                <c:pt idx="8">
                  <c:v>34</c:v>
                </c:pt>
                <c:pt idx="9">
                  <c:v>30.2</c:v>
                </c:pt>
                <c:pt idx="10">
                  <c:v>30.2</c:v>
                </c:pt>
                <c:pt idx="11">
                  <c:v>28.9</c:v>
                </c:pt>
                <c:pt idx="12">
                  <c:v>16.100000000000001</c:v>
                </c:pt>
                <c:pt idx="13">
                  <c:v>10</c:v>
                </c:pt>
              </c:numCache>
            </c:numRef>
          </c:val>
        </c:ser>
        <c:ser>
          <c:idx val="0"/>
          <c:order val="1"/>
          <c:tx>
            <c:strRef>
              <c:f>Sheet1!$A$3</c:f>
              <c:strCache>
                <c:ptCount val="1"/>
                <c:pt idx="0">
                  <c:v>Αύξηση</c:v>
                </c:pt>
              </c:strCache>
            </c:strRef>
          </c:tx>
          <c:spPr>
            <a:gradFill rotWithShape="0">
              <a:gsLst>
                <a:gs pos="0">
                  <a:srgbClr val="008000"/>
                </a:gs>
                <a:gs pos="100000">
                  <a:srgbClr val="FEFEFE">
                    <a:gamma/>
                    <a:tint val="62353"/>
                    <a:invGamma/>
                  </a:srgbClr>
                </a:gs>
              </a:gsLst>
              <a:lin ang="2700000" scaled="1"/>
            </a:gradFill>
            <a:ln w="25400">
              <a:noFill/>
            </a:ln>
          </c:spPr>
          <c:dLbls>
            <c:numFmt formatCode="0.0" sourceLinked="0"/>
            <c:spPr>
              <a:noFill/>
              <a:ln w="25400">
                <a:noFill/>
              </a:ln>
            </c:spPr>
            <c:txPr>
              <a:bodyPr/>
              <a:lstStyle/>
              <a:p>
                <a:pPr>
                  <a:defRPr sz="800" b="1" i="0" u="none" strike="noStrike" baseline="0">
                    <a:solidFill>
                      <a:srgbClr val="000000"/>
                    </a:solidFill>
                    <a:latin typeface="Tahoma"/>
                    <a:ea typeface="Tahoma"/>
                    <a:cs typeface="Tahoma"/>
                  </a:defRPr>
                </a:pPr>
                <a:endParaRPr lang="el-GR"/>
              </a:p>
            </c:txPr>
            <c:showVal val="1"/>
          </c:dLbls>
          <c:cat>
            <c:strRef>
              <c:f>Sheet1!$B$1:$O$1</c:f>
              <c:strCache>
                <c:ptCount val="14"/>
                <c:pt idx="0">
                  <c:v>Ένδυση - Υπόδηση</c:v>
                </c:pt>
                <c:pt idx="1">
                  <c:v>Για Είδη διατροφής</c:v>
                </c:pt>
                <c:pt idx="2">
                  <c:v>Εστιατόρια ταβέρνες</c:v>
                </c:pt>
                <c:pt idx="3">
                  <c:v>Kαφέ, μπαρ, σινεμά κλπ</c:v>
                </c:pt>
                <c:pt idx="4">
                  <c:v>Δώρα, είδη δώρων</c:v>
                </c:pt>
                <c:pt idx="5">
                  <c:v>Για Μετακίνηση</c:v>
                </c:pt>
                <c:pt idx="6">
                  <c:v>Για Θέρμανση</c:v>
                </c:pt>
                <c:pt idx="7">
                  <c:v>Ταξίδια</c:v>
                </c:pt>
                <c:pt idx="8">
                  <c:v>Για Ποτά  τσιγάρα καπνό</c:v>
                </c:pt>
                <c:pt idx="9">
                  <c:v>Για Οικιακά είδη</c:v>
                </c:pt>
                <c:pt idx="10">
                  <c:v>Για Λογαριασμούς σπιτιού</c:v>
                </c:pt>
                <c:pt idx="11">
                  <c:v>Για Συντήρηση  ασφάλιση ΙΧ</c:v>
                </c:pt>
                <c:pt idx="12">
                  <c:v>Για Υγεία - φάρμακα</c:v>
                </c:pt>
                <c:pt idx="13">
                  <c:v>Εκπαίδευση </c:v>
                </c:pt>
              </c:strCache>
            </c:strRef>
          </c:cat>
          <c:val>
            <c:numRef>
              <c:f>Sheet1!$B$3:$O$3</c:f>
              <c:numCache>
                <c:formatCode>General</c:formatCode>
                <c:ptCount val="14"/>
                <c:pt idx="0">
                  <c:v>1.7</c:v>
                </c:pt>
                <c:pt idx="1">
                  <c:v>3.6</c:v>
                </c:pt>
                <c:pt idx="2">
                  <c:v>0.9</c:v>
                </c:pt>
                <c:pt idx="3">
                  <c:v>1</c:v>
                </c:pt>
                <c:pt idx="4">
                  <c:v>1.4</c:v>
                </c:pt>
                <c:pt idx="5">
                  <c:v>4</c:v>
                </c:pt>
                <c:pt idx="6">
                  <c:v>4.5999999999999996</c:v>
                </c:pt>
                <c:pt idx="7">
                  <c:v>2.5</c:v>
                </c:pt>
                <c:pt idx="8">
                  <c:v>2.2000000000000002</c:v>
                </c:pt>
                <c:pt idx="9">
                  <c:v>3.8</c:v>
                </c:pt>
                <c:pt idx="10">
                  <c:v>14.6</c:v>
                </c:pt>
                <c:pt idx="11">
                  <c:v>2.9</c:v>
                </c:pt>
                <c:pt idx="12">
                  <c:v>18</c:v>
                </c:pt>
                <c:pt idx="13">
                  <c:v>8.6</c:v>
                </c:pt>
              </c:numCache>
            </c:numRef>
          </c:val>
        </c:ser>
        <c:ser>
          <c:idx val="2"/>
          <c:order val="2"/>
          <c:tx>
            <c:strRef>
              <c:f>Sheet1!$A$4</c:f>
              <c:strCache>
                <c:ptCount val="1"/>
                <c:pt idx="0">
                  <c:v>Περίπου τα ίδια</c:v>
                </c:pt>
              </c:strCache>
            </c:strRef>
          </c:tx>
          <c:spPr>
            <a:gradFill rotWithShape="0">
              <a:gsLst>
                <a:gs pos="0">
                  <a:srgbClr val="C0C0C0"/>
                </a:gs>
                <a:gs pos="100000">
                  <a:srgbClr val="FEFEFE">
                    <a:gamma/>
                    <a:tint val="63922"/>
                    <a:invGamma/>
                  </a:srgbClr>
                </a:gs>
              </a:gsLst>
              <a:lin ang="2700000" scaled="1"/>
            </a:gradFill>
            <a:ln w="25400">
              <a:noFill/>
            </a:ln>
          </c:spPr>
          <c:dLbls>
            <c:spPr>
              <a:noFill/>
              <a:ln w="25400">
                <a:noFill/>
              </a:ln>
            </c:spPr>
            <c:txPr>
              <a:bodyPr/>
              <a:lstStyle/>
              <a:p>
                <a:pPr>
                  <a:defRPr sz="800" b="1" i="0" u="none" strike="noStrike" baseline="0">
                    <a:solidFill>
                      <a:srgbClr val="000000"/>
                    </a:solidFill>
                    <a:latin typeface="Tahoma"/>
                    <a:ea typeface="Tahoma"/>
                    <a:cs typeface="Tahoma"/>
                  </a:defRPr>
                </a:pPr>
                <a:endParaRPr lang="el-GR"/>
              </a:p>
            </c:txPr>
            <c:showVal val="1"/>
          </c:dLbls>
          <c:cat>
            <c:strRef>
              <c:f>Sheet1!$B$1:$O$1</c:f>
              <c:strCache>
                <c:ptCount val="14"/>
                <c:pt idx="0">
                  <c:v>Ένδυση - Υπόδηση</c:v>
                </c:pt>
                <c:pt idx="1">
                  <c:v>Για Είδη διατροφής</c:v>
                </c:pt>
                <c:pt idx="2">
                  <c:v>Εστιατόρια ταβέρνες</c:v>
                </c:pt>
                <c:pt idx="3">
                  <c:v>Kαφέ, μπαρ, σινεμά κλπ</c:v>
                </c:pt>
                <c:pt idx="4">
                  <c:v>Δώρα, είδη δώρων</c:v>
                </c:pt>
                <c:pt idx="5">
                  <c:v>Για Μετακίνηση</c:v>
                </c:pt>
                <c:pt idx="6">
                  <c:v>Για Θέρμανση</c:v>
                </c:pt>
                <c:pt idx="7">
                  <c:v>Ταξίδια</c:v>
                </c:pt>
                <c:pt idx="8">
                  <c:v>Για Ποτά  τσιγάρα καπνό</c:v>
                </c:pt>
                <c:pt idx="9">
                  <c:v>Για Οικιακά είδη</c:v>
                </c:pt>
                <c:pt idx="10">
                  <c:v>Για Λογαριασμούς σπιτιού</c:v>
                </c:pt>
                <c:pt idx="11">
                  <c:v>Για Συντήρηση  ασφάλιση ΙΧ</c:v>
                </c:pt>
                <c:pt idx="12">
                  <c:v>Για Υγεία - φάρμακα</c:v>
                </c:pt>
                <c:pt idx="13">
                  <c:v>Εκπαίδευση </c:v>
                </c:pt>
              </c:strCache>
            </c:strRef>
          </c:cat>
          <c:val>
            <c:numRef>
              <c:f>Sheet1!$B$4:$O$4</c:f>
              <c:numCache>
                <c:formatCode>General</c:formatCode>
                <c:ptCount val="14"/>
                <c:pt idx="0">
                  <c:v>46.3</c:v>
                </c:pt>
                <c:pt idx="1">
                  <c:v>45.5</c:v>
                </c:pt>
                <c:pt idx="2">
                  <c:v>48.4</c:v>
                </c:pt>
                <c:pt idx="3">
                  <c:v>51.3</c:v>
                </c:pt>
                <c:pt idx="4">
                  <c:v>50.7</c:v>
                </c:pt>
                <c:pt idx="5">
                  <c:v>48.9</c:v>
                </c:pt>
                <c:pt idx="6">
                  <c:v>48.8</c:v>
                </c:pt>
                <c:pt idx="7">
                  <c:v>55</c:v>
                </c:pt>
                <c:pt idx="8">
                  <c:v>63.4</c:v>
                </c:pt>
                <c:pt idx="9">
                  <c:v>65.900000000000006</c:v>
                </c:pt>
                <c:pt idx="10">
                  <c:v>54.9</c:v>
                </c:pt>
                <c:pt idx="11">
                  <c:v>68.099999999999994</c:v>
                </c:pt>
                <c:pt idx="12">
                  <c:v>65.900000000000006</c:v>
                </c:pt>
                <c:pt idx="13">
                  <c:v>81.3</c:v>
                </c:pt>
              </c:numCache>
            </c:numRef>
          </c:val>
        </c:ser>
        <c:ser>
          <c:idx val="3"/>
          <c:order val="3"/>
          <c:tx>
            <c:strRef>
              <c:f>Sheet1!$A$5</c:f>
              <c:strCache>
                <c:ptCount val="1"/>
                <c:pt idx="0">
                  <c:v>ΔΑ</c:v>
                </c:pt>
              </c:strCache>
            </c:strRef>
          </c:tx>
          <c:spPr>
            <a:gradFill rotWithShape="0">
              <a:gsLst>
                <a:gs pos="0">
                  <a:srgbClr val="FFFF99"/>
                </a:gs>
                <a:gs pos="100000">
                  <a:srgbClr val="030303">
                    <a:gamma/>
                    <a:shade val="86275"/>
                    <a:invGamma/>
                  </a:srgbClr>
                </a:gs>
              </a:gsLst>
              <a:lin ang="2700000" scaled="1"/>
            </a:gradFill>
            <a:ln w="25400">
              <a:noFill/>
            </a:ln>
          </c:spPr>
          <c:dLbls>
            <c:dLbl>
              <c:idx val="4"/>
              <c:layout>
                <c:manualLayout>
                  <c:x val="0.15411449892576018"/>
                  <c:y val="4.8038954947858307E-2"/>
                </c:manualLayout>
              </c:layout>
              <c:showVal val="1"/>
            </c:dLbl>
            <c:dLbl>
              <c:idx val="6"/>
              <c:layout>
                <c:manualLayout>
                  <c:x val="0.15269445947859631"/>
                  <c:y val="7.2389845418485671E-2"/>
                </c:manualLayout>
              </c:layout>
              <c:showVal val="1"/>
            </c:dLbl>
            <c:spPr>
              <a:gradFill rotWithShape="0">
                <a:gsLst>
                  <a:gs pos="0">
                    <a:srgbClr val="000000">
                      <a:gamma/>
                      <a:shade val="46275"/>
                      <a:invGamma/>
                    </a:srgbClr>
                  </a:gs>
                  <a:gs pos="100000">
                    <a:srgbClr val="FFFF99"/>
                  </a:gs>
                </a:gsLst>
                <a:lin ang="2700000" scaled="1"/>
              </a:gradFill>
              <a:ln w="25400">
                <a:noFill/>
              </a:ln>
            </c:spPr>
            <c:txPr>
              <a:bodyPr/>
              <a:lstStyle/>
              <a:p>
                <a:pPr>
                  <a:defRPr sz="800" b="1" i="0" u="none" strike="noStrike" baseline="0">
                    <a:solidFill>
                      <a:srgbClr val="000000"/>
                    </a:solidFill>
                    <a:latin typeface="Tahoma"/>
                    <a:ea typeface="Tahoma"/>
                    <a:cs typeface="Tahoma"/>
                  </a:defRPr>
                </a:pPr>
                <a:endParaRPr lang="el-GR"/>
              </a:p>
            </c:txPr>
            <c:showVal val="1"/>
          </c:dLbls>
          <c:cat>
            <c:strRef>
              <c:f>Sheet1!$B$1:$O$1</c:f>
              <c:strCache>
                <c:ptCount val="14"/>
                <c:pt idx="0">
                  <c:v>Ένδυση - Υπόδηση</c:v>
                </c:pt>
                <c:pt idx="1">
                  <c:v>Για Είδη διατροφής</c:v>
                </c:pt>
                <c:pt idx="2">
                  <c:v>Εστιατόρια ταβέρνες</c:v>
                </c:pt>
                <c:pt idx="3">
                  <c:v>Kαφέ, μπαρ, σινεμά κλπ</c:v>
                </c:pt>
                <c:pt idx="4">
                  <c:v>Δώρα, είδη δώρων</c:v>
                </c:pt>
                <c:pt idx="5">
                  <c:v>Για Μετακίνηση</c:v>
                </c:pt>
                <c:pt idx="6">
                  <c:v>Για Θέρμανση</c:v>
                </c:pt>
                <c:pt idx="7">
                  <c:v>Ταξίδια</c:v>
                </c:pt>
                <c:pt idx="8">
                  <c:v>Για Ποτά  τσιγάρα καπνό</c:v>
                </c:pt>
                <c:pt idx="9">
                  <c:v>Για Οικιακά είδη</c:v>
                </c:pt>
                <c:pt idx="10">
                  <c:v>Για Λογαριασμούς σπιτιού</c:v>
                </c:pt>
                <c:pt idx="11">
                  <c:v>Για Συντήρηση  ασφάλιση ΙΧ</c:v>
                </c:pt>
                <c:pt idx="12">
                  <c:v>Για Υγεία - φάρμακα</c:v>
                </c:pt>
                <c:pt idx="13">
                  <c:v>Εκπαίδευση </c:v>
                </c:pt>
              </c:strCache>
            </c:strRef>
          </c:cat>
          <c:val>
            <c:numRef>
              <c:f>Sheet1!$B$5:$O$5</c:f>
              <c:numCache>
                <c:formatCode>General</c:formatCode>
                <c:ptCount val="14"/>
                <c:pt idx="4">
                  <c:v>0.2</c:v>
                </c:pt>
                <c:pt idx="6">
                  <c:v>0.1</c:v>
                </c:pt>
                <c:pt idx="8">
                  <c:v>0.30000000000000021</c:v>
                </c:pt>
                <c:pt idx="9">
                  <c:v>0.1</c:v>
                </c:pt>
                <c:pt idx="10">
                  <c:v>0.2</c:v>
                </c:pt>
                <c:pt idx="11">
                  <c:v>0.1</c:v>
                </c:pt>
                <c:pt idx="13">
                  <c:v>0.2</c:v>
                </c:pt>
              </c:numCache>
            </c:numRef>
          </c:val>
        </c:ser>
        <c:dLbls>
          <c:showVal val="1"/>
        </c:dLbls>
        <c:gapWidth val="100"/>
        <c:gapDepth val="0"/>
        <c:shape val="box"/>
        <c:axId val="117404416"/>
        <c:axId val="117405952"/>
        <c:axId val="0"/>
      </c:bar3DChart>
      <c:catAx>
        <c:axId val="117404416"/>
        <c:scaling>
          <c:orientation val="maxMin"/>
        </c:scaling>
        <c:axPos val="l"/>
        <c:numFmt formatCode="General" sourceLinked="1"/>
        <c:tickLblPos val="low"/>
        <c:spPr>
          <a:ln w="3175">
            <a:solidFill>
              <a:srgbClr val="000000"/>
            </a:solidFill>
            <a:prstDash val="solid"/>
          </a:ln>
        </c:spPr>
        <c:txPr>
          <a:bodyPr rot="0" vert="horz"/>
          <a:lstStyle/>
          <a:p>
            <a:pPr>
              <a:defRPr sz="900" b="1" i="0" u="none" strike="noStrike" baseline="0">
                <a:solidFill>
                  <a:srgbClr val="000000"/>
                </a:solidFill>
                <a:latin typeface="Tahoma"/>
                <a:ea typeface="Tahoma"/>
                <a:cs typeface="Tahoma"/>
              </a:defRPr>
            </a:pPr>
            <a:endParaRPr lang="el-GR"/>
          </a:p>
        </c:txPr>
        <c:crossAx val="117405952"/>
        <c:crosses val="autoZero"/>
        <c:auto val="1"/>
        <c:lblAlgn val="ctr"/>
        <c:lblOffset val="100"/>
        <c:tickLblSkip val="1"/>
        <c:tickMarkSkip val="1"/>
      </c:catAx>
      <c:valAx>
        <c:axId val="117405952"/>
        <c:scaling>
          <c:orientation val="minMax"/>
          <c:max val="100"/>
          <c:min val="0"/>
        </c:scaling>
        <c:axPos val="b"/>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Times New Roman"/>
                <a:ea typeface="Times New Roman"/>
                <a:cs typeface="Times New Roman"/>
              </a:defRPr>
            </a:pPr>
            <a:endParaRPr lang="el-GR"/>
          </a:p>
        </c:txPr>
        <c:crossAx val="117404416"/>
        <c:crosses val="max"/>
        <c:crossBetween val="between"/>
      </c:valAx>
      <c:spPr>
        <a:noFill/>
        <a:ln w="25400">
          <a:noFill/>
        </a:ln>
      </c:spPr>
    </c:plotArea>
    <c:legend>
      <c:legendPos val="r"/>
      <c:layout>
        <c:manualLayout>
          <c:xMode val="edge"/>
          <c:yMode val="edge"/>
          <c:x val="0.31263858093126407"/>
          <c:y val="5.7529610829103288E-2"/>
          <c:w val="0.67294900221729592"/>
          <c:h val="3.7225042301184452E-2"/>
        </c:manualLayout>
      </c:layout>
      <c:spPr>
        <a:noFill/>
        <a:ln w="25400">
          <a:noFill/>
        </a:ln>
      </c:spPr>
      <c:txPr>
        <a:bodyPr/>
        <a:lstStyle/>
        <a:p>
          <a:pPr>
            <a:defRPr sz="920" b="1" i="0" u="none" strike="noStrike" baseline="0">
              <a:solidFill>
                <a:srgbClr val="000000"/>
              </a:solidFill>
              <a:latin typeface="Tahoma"/>
              <a:ea typeface="Tahoma"/>
              <a:cs typeface="Tahoma"/>
            </a:defRPr>
          </a:pPr>
          <a:endParaRPr lang="el-GR"/>
        </a:p>
      </c:txPr>
    </c:legend>
    <c:plotVisOnly val="1"/>
    <c:dispBlanksAs val="gap"/>
  </c:chart>
  <c:spPr>
    <a:noFill/>
    <a:ln>
      <a:noFill/>
    </a:ln>
  </c:spPr>
  <c:txPr>
    <a:bodyPr/>
    <a:lstStyle/>
    <a:p>
      <a:pPr>
        <a:defRPr sz="2325" b="1" i="0" u="none" strike="noStrike" baseline="0">
          <a:solidFill>
            <a:srgbClr val="000000"/>
          </a:solidFill>
          <a:latin typeface="Times New Roman"/>
          <a:ea typeface="Times New Roman"/>
          <a:cs typeface="Times New Roman"/>
        </a:defRPr>
      </a:pPr>
      <a:endParaRPr lang="el-G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l-GR"/>
  <c:chart>
    <c:view3D>
      <c:perspective val="0"/>
    </c:view3D>
    <c:plotArea>
      <c:layout>
        <c:manualLayout>
          <c:layoutTarget val="inner"/>
          <c:xMode val="edge"/>
          <c:yMode val="edge"/>
          <c:x val="0.16376953522801868"/>
          <c:y val="0.21469302055315606"/>
          <c:w val="0.77529754849290844"/>
          <c:h val="0.55172015119838558"/>
        </c:manualLayout>
      </c:layout>
      <c:pie3DChart>
        <c:varyColors val="1"/>
        <c:ser>
          <c:idx val="0"/>
          <c:order val="0"/>
          <c:spPr>
            <a:solidFill>
              <a:schemeClr val="accent1"/>
            </a:solidFill>
            <a:ln w="11809">
              <a:solidFill>
                <a:schemeClr val="tx1"/>
              </a:solidFill>
              <a:prstDash val="solid"/>
            </a:ln>
          </c:spPr>
          <c:dPt>
            <c:idx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1"/>
            <c:explosion val="5"/>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dPt>
          <c:dPt>
            <c:idx val="2"/>
            <c:spPr>
              <a:solidFill>
                <a:schemeClr val="bg1">
                  <a:lumMod val="75000"/>
                </a:schemeClr>
              </a:soli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dPt>
          <c:dLbls>
            <c:dLbl>
              <c:idx val="0"/>
              <c:layout>
                <c:manualLayout>
                  <c:x val="9.8481655307893143E-3"/>
                  <c:y val="-2.372001685601928E-2"/>
                </c:manualLayout>
              </c:layout>
              <c:dLblPos val="bestFit"/>
              <c:showCatName val="1"/>
              <c:showPercent val="1"/>
            </c:dLbl>
            <c:dLbl>
              <c:idx val="1"/>
              <c:layout>
                <c:manualLayout>
                  <c:x val="-5.0012884223579794E-2"/>
                  <c:y val="3.8365765624713756E-2"/>
                </c:manualLayout>
              </c:layout>
              <c:dLblPos val="bestFit"/>
              <c:showCatName val="1"/>
              <c:showPercent val="1"/>
            </c:dLbl>
            <c:dLbl>
              <c:idx val="2"/>
              <c:layout>
                <c:manualLayout>
                  <c:x val="-1.447967424429584E-2"/>
                  <c:y val="-2.6208028595270671E-2"/>
                </c:manualLayout>
              </c:layout>
              <c:dLblPos val="bestFit"/>
              <c:showCatName val="1"/>
              <c:showPercent val="1"/>
            </c:dLbl>
            <c:dLbl>
              <c:idx val="3"/>
              <c:layout>
                <c:manualLayout>
                  <c:x val="4.8405384239027923E-3"/>
                  <c:y val="-7.3644563029447274E-2"/>
                </c:manualLayout>
              </c:layout>
              <c:dLblPos val="bestFit"/>
              <c:showCatName val="1"/>
              <c:showPercent val="1"/>
            </c:dLbl>
            <c:dLbl>
              <c:idx val="4"/>
              <c:layout>
                <c:manualLayout>
                  <c:x val="2.436830743255659E-2"/>
                  <c:y val="-5.3411779252542924E-2"/>
                </c:manualLayout>
              </c:layout>
              <c:dLblPos val="bestFit"/>
              <c:showCatName val="1"/>
              <c:showPercent val="1"/>
            </c:dLbl>
            <c:dLbl>
              <c:idx val="5"/>
              <c:layout>
                <c:manualLayout>
                  <c:x val="1.4990104591287808E-2"/>
                  <c:y val="-5.5974121573469302E-2"/>
                </c:manualLayout>
              </c:layout>
              <c:dLblPos val="bestFit"/>
              <c:showCatName val="1"/>
              <c:showPercent val="1"/>
            </c:dLbl>
            <c:numFmt formatCode="0.0%" sourceLinked="0"/>
            <c:spPr>
              <a:noFill/>
              <a:ln w="23617">
                <a:noFill/>
              </a:ln>
            </c:spPr>
            <c:txPr>
              <a:bodyPr/>
              <a:lstStyle/>
              <a:p>
                <a:pPr>
                  <a:defRPr sz="900" b="1" i="0" u="none" strike="noStrike" baseline="0">
                    <a:solidFill>
                      <a:srgbClr val="000000"/>
                    </a:solidFill>
                    <a:latin typeface="Tahoma"/>
                    <a:ea typeface="Tahoma"/>
                    <a:cs typeface="Tahoma"/>
                  </a:defRPr>
                </a:pPr>
                <a:endParaRPr lang="el-GR"/>
              </a:p>
            </c:txPr>
            <c:showCatName val="1"/>
            <c:showPercent val="1"/>
          </c:dLbls>
          <c:cat>
            <c:strRef>
              <c:f>Sheet1!$B$1:$D$1</c:f>
              <c:strCache>
                <c:ptCount val="3"/>
                <c:pt idx="0">
                  <c:v>Ναι</c:v>
                </c:pt>
                <c:pt idx="1">
                  <c:v>Όχι</c:v>
                </c:pt>
                <c:pt idx="2">
                  <c:v>ΔΑ</c:v>
                </c:pt>
              </c:strCache>
            </c:strRef>
          </c:cat>
          <c:val>
            <c:numRef>
              <c:f>Sheet1!$B$2:$D$2</c:f>
              <c:numCache>
                <c:formatCode>General</c:formatCode>
                <c:ptCount val="3"/>
                <c:pt idx="0">
                  <c:v>67.8</c:v>
                </c:pt>
                <c:pt idx="1">
                  <c:v>32</c:v>
                </c:pt>
                <c:pt idx="2">
                  <c:v>0.2</c:v>
                </c:pt>
              </c:numCache>
            </c:numRef>
          </c:val>
        </c:ser>
        <c:dLbls>
          <c:showCatName val="1"/>
          <c:showPercent val="1"/>
        </c:dLbls>
      </c:pie3DChart>
      <c:spPr>
        <a:noFill/>
        <a:ln w="25400">
          <a:noFill/>
        </a:ln>
      </c:spPr>
    </c:plotArea>
    <c:plotVisOnly val="1"/>
    <c:dispBlanksAs val="zero"/>
  </c:chart>
  <c:spPr>
    <a:noFill/>
    <a:ln>
      <a:noFill/>
    </a:ln>
  </c:spPr>
  <c:txPr>
    <a:bodyPr/>
    <a:lstStyle/>
    <a:p>
      <a:pPr>
        <a:defRPr sz="1370" b="1" i="0" u="none" strike="noStrike" baseline="0">
          <a:solidFill>
            <a:srgbClr val="000000"/>
          </a:solidFill>
          <a:latin typeface="Times New Roman"/>
          <a:ea typeface="Times New Roman"/>
          <a:cs typeface="Times New Roman"/>
        </a:defRPr>
      </a:pPr>
      <a:endParaRPr lang="el-G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l-GR"/>
  <c:clrMapOvr bg1="lt1" tx1="dk1" bg2="lt2" tx2="dk2" accent1="accent1" accent2="accent2" accent3="accent3" accent4="accent4" accent5="accent5" accent6="accent6" hlink="hlink" folHlink="folHlink"/>
  <c:chart>
    <c:autoTitleDeleted val="1"/>
    <c:view3D>
      <c:hPercent val="138"/>
      <c:depthPercent val="6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31237929411157778"/>
          <c:y val="2.2169218609525615E-2"/>
          <c:w val="0.5040609335597761"/>
          <c:h val="0.91811555555555568"/>
        </c:manualLayout>
      </c:layout>
      <c:bar3DChart>
        <c:barDir val="bar"/>
        <c:grouping val="stacked"/>
        <c:ser>
          <c:idx val="1"/>
          <c:order val="0"/>
          <c:tx>
            <c:strRef>
              <c:f>Sheet1!$A$2</c:f>
              <c:strCache>
                <c:ptCount val="1"/>
              </c:strCache>
            </c:strRef>
          </c:tx>
          <c:spPr>
            <a:gradFill rotWithShape="0">
              <a:gsLst>
                <a:gs pos="0">
                  <a:srgbClr val="008080"/>
                </a:gs>
                <a:gs pos="100000">
                  <a:srgbClr val="FFFFFF">
                    <a:gamma/>
                    <a:tint val="43922"/>
                    <a:invGamma/>
                  </a:srgbClr>
                </a:gs>
              </a:gsLst>
              <a:lin ang="2700000" scaled="1"/>
            </a:gradFill>
            <a:ln w="25400">
              <a:noFill/>
            </a:ln>
          </c:spPr>
          <c:dPt>
            <c:idx val="4"/>
            <c:spPr>
              <a:gradFill rotWithShape="0">
                <a:gsLst>
                  <a:gs pos="0">
                    <a:srgbClr val="C0C0C0"/>
                  </a:gs>
                  <a:gs pos="100000">
                    <a:srgbClr val="FFFFFF">
                      <a:gamma/>
                      <a:tint val="43922"/>
                      <a:invGamma/>
                    </a:srgbClr>
                  </a:gs>
                </a:gsLst>
                <a:lin ang="2700000" scaled="1"/>
              </a:gradFill>
              <a:ln w="25400">
                <a:noFill/>
              </a:ln>
            </c:spPr>
          </c:dPt>
          <c:dLbls>
            <c:dLbl>
              <c:idx val="0"/>
              <c:layout>
                <c:manualLayout>
                  <c:x val="7.9657454582883022E-2"/>
                  <c:y val="1.7635781675399268E-3"/>
                </c:manualLayout>
              </c:layout>
              <c:showVal val="1"/>
            </c:dLbl>
            <c:dLbl>
              <c:idx val="1"/>
              <c:layout>
                <c:manualLayout>
                  <c:x val="0.21693726519479206"/>
                  <c:y val="4.062292213473322E-4"/>
                </c:manualLayout>
              </c:layout>
              <c:showVal val="1"/>
            </c:dLbl>
            <c:dLbl>
              <c:idx val="2"/>
              <c:layout>
                <c:manualLayout>
                  <c:x val="0.20273974576707349"/>
                  <c:y val="1.3189711286089249E-2"/>
                </c:manualLayout>
              </c:layout>
              <c:showVal val="1"/>
            </c:dLbl>
            <c:dLbl>
              <c:idx val="3"/>
              <c:layout>
                <c:manualLayout>
                  <c:x val="0.17860141011785291"/>
                  <c:y val="-2.6428696412948396E-4"/>
                </c:manualLayout>
              </c:layout>
              <c:showVal val="1"/>
            </c:dLbl>
            <c:dLbl>
              <c:idx val="4"/>
              <c:layout>
                <c:manualLayout>
                  <c:x val="0.11712932942205753"/>
                  <c:y val="-5.0866841644794424E-3"/>
                </c:manualLayout>
              </c:layout>
              <c:showVal val="1"/>
            </c:dLbl>
            <c:dLbl>
              <c:idx val="5"/>
              <c:layout>
                <c:manualLayout>
                  <c:xMode val="edge"/>
                  <c:yMode val="edge"/>
                  <c:x val="0.25703794369645044"/>
                  <c:y val="0.85279187817258995"/>
                </c:manualLayout>
              </c:layout>
              <c:numFmt formatCode="0.0" sourceLinked="0"/>
              <c:spPr>
                <a:noFill/>
                <a:ln w="25400">
                  <a:noFill/>
                </a:ln>
              </c:spPr>
              <c:txPr>
                <a:bodyPr/>
                <a:lstStyle/>
                <a:p>
                  <a:pPr>
                    <a:defRPr sz="875" b="1" i="0" u="none" strike="noStrike" baseline="0">
                      <a:solidFill>
                        <a:srgbClr val="000000"/>
                      </a:solidFill>
                      <a:latin typeface="Tahoma"/>
                      <a:ea typeface="Tahoma"/>
                      <a:cs typeface="Tahoma"/>
                    </a:defRPr>
                  </a:pPr>
                  <a:endParaRPr lang="el-GR"/>
                </a:p>
              </c:txPr>
              <c:showVal val="1"/>
            </c:dLbl>
            <c:dLbl>
              <c:idx val="6"/>
              <c:layout>
                <c:manualLayout>
                  <c:xMode val="edge"/>
                  <c:yMode val="edge"/>
                  <c:x val="0.28518971848225239"/>
                  <c:y val="0.63282571912013597"/>
                </c:manualLayout>
              </c:layout>
              <c:numFmt formatCode="0.0" sourceLinked="0"/>
              <c:spPr>
                <a:noFill/>
                <a:ln w="25400">
                  <a:noFill/>
                </a:ln>
              </c:spPr>
              <c:txPr>
                <a:bodyPr/>
                <a:lstStyle/>
                <a:p>
                  <a:pPr>
                    <a:defRPr sz="875" b="1" i="0" u="none" strike="noStrike" baseline="0">
                      <a:solidFill>
                        <a:srgbClr val="000000"/>
                      </a:solidFill>
                      <a:latin typeface="Tahoma"/>
                      <a:ea typeface="Tahoma"/>
                      <a:cs typeface="Tahoma"/>
                    </a:defRPr>
                  </a:pPr>
                  <a:endParaRPr lang="el-GR"/>
                </a:p>
              </c:txPr>
              <c:showVal val="1"/>
            </c:dLbl>
            <c:dLbl>
              <c:idx val="7"/>
              <c:layout>
                <c:manualLayout>
                  <c:xMode val="edge"/>
                  <c:yMode val="edge"/>
                  <c:x val="0.31578947368421101"/>
                  <c:y val="0.70896785109983085"/>
                </c:manualLayout>
              </c:layout>
              <c:numFmt formatCode="0.0" sourceLinked="0"/>
              <c:spPr>
                <a:noFill/>
                <a:ln w="25400">
                  <a:noFill/>
                </a:ln>
              </c:spPr>
              <c:txPr>
                <a:bodyPr/>
                <a:lstStyle/>
                <a:p>
                  <a:pPr>
                    <a:defRPr sz="875" b="1" i="0" u="none" strike="noStrike" baseline="0">
                      <a:solidFill>
                        <a:srgbClr val="000000"/>
                      </a:solidFill>
                      <a:latin typeface="Tahoma"/>
                      <a:ea typeface="Tahoma"/>
                      <a:cs typeface="Tahoma"/>
                    </a:defRPr>
                  </a:pPr>
                  <a:endParaRPr lang="el-GR"/>
                </a:p>
              </c:txPr>
              <c:showVal val="1"/>
            </c:dLbl>
            <c:dLbl>
              <c:idx val="8"/>
              <c:layout>
                <c:manualLayout>
                  <c:xMode val="edge"/>
                  <c:yMode val="edge"/>
                  <c:x val="0.87760097919216662"/>
                  <c:y val="0.78003384094754658"/>
                </c:manualLayout>
              </c:layout>
              <c:numFmt formatCode="0.0" sourceLinked="0"/>
              <c:spPr>
                <a:noFill/>
                <a:ln w="25400">
                  <a:noFill/>
                </a:ln>
              </c:spPr>
              <c:txPr>
                <a:bodyPr/>
                <a:lstStyle/>
                <a:p>
                  <a:pPr>
                    <a:defRPr sz="875" b="1" i="0" u="none" strike="noStrike" baseline="0">
                      <a:solidFill>
                        <a:srgbClr val="000000"/>
                      </a:solidFill>
                      <a:latin typeface="Tahoma"/>
                      <a:ea typeface="Tahoma"/>
                      <a:cs typeface="Tahoma"/>
                    </a:defRPr>
                  </a:pPr>
                  <a:endParaRPr lang="el-GR"/>
                </a:p>
              </c:txPr>
              <c:showVal val="1"/>
            </c:dLbl>
            <c:dLbl>
              <c:idx val="9"/>
              <c:layout>
                <c:manualLayout>
                  <c:xMode val="edge"/>
                  <c:yMode val="edge"/>
                  <c:x val="0.26315789473684231"/>
                  <c:y val="0.86463620981387523"/>
                </c:manualLayout>
              </c:layout>
              <c:numFmt formatCode="0.0" sourceLinked="0"/>
              <c:spPr>
                <a:noFill/>
                <a:ln w="25400">
                  <a:noFill/>
                </a:ln>
              </c:spPr>
              <c:txPr>
                <a:bodyPr/>
                <a:lstStyle/>
                <a:p>
                  <a:pPr>
                    <a:defRPr sz="875" b="1" i="0" u="none" strike="noStrike" baseline="0">
                      <a:solidFill>
                        <a:srgbClr val="000000"/>
                      </a:solidFill>
                      <a:latin typeface="Tahoma"/>
                      <a:ea typeface="Tahoma"/>
                      <a:cs typeface="Tahoma"/>
                    </a:defRPr>
                  </a:pPr>
                  <a:endParaRPr lang="el-GR"/>
                </a:p>
              </c:txPr>
              <c:showVal val="1"/>
            </c:dLbl>
            <c:numFmt formatCode="0.0" sourceLinked="0"/>
            <c:spPr>
              <a:noFill/>
              <a:ln w="25400">
                <a:noFill/>
              </a:ln>
            </c:spPr>
            <c:txPr>
              <a:bodyPr/>
              <a:lstStyle/>
              <a:p>
                <a:pPr>
                  <a:defRPr sz="975" b="1" i="0" u="none" strike="noStrike" baseline="0">
                    <a:solidFill>
                      <a:srgbClr val="000000"/>
                    </a:solidFill>
                    <a:latin typeface="Tahoma"/>
                    <a:ea typeface="Tahoma"/>
                    <a:cs typeface="Tahoma"/>
                  </a:defRPr>
                </a:pPr>
                <a:endParaRPr lang="el-GR"/>
              </a:p>
            </c:txPr>
            <c:showVal val="1"/>
          </c:dLbls>
          <c:cat>
            <c:strRef>
              <c:f>Sheet1!$B$1:$F$1</c:f>
              <c:strCache>
                <c:ptCount val="5"/>
                <c:pt idx="0">
                  <c:v>Μηδέν, δεν έχω περιουσία ή είναι πολύ μικρή</c:v>
                </c:pt>
                <c:pt idx="1">
                  <c:v>Έως 500€</c:v>
                </c:pt>
                <c:pt idx="2">
                  <c:v>501-1000  €</c:v>
                </c:pt>
                <c:pt idx="3">
                  <c:v>Περισσότερα από 1000 €</c:v>
                </c:pt>
                <c:pt idx="4">
                  <c:v>ΔΑ</c:v>
                </c:pt>
              </c:strCache>
            </c:strRef>
          </c:cat>
          <c:val>
            <c:numRef>
              <c:f>Sheet1!$B$2:$F$2</c:f>
              <c:numCache>
                <c:formatCode>General</c:formatCode>
                <c:ptCount val="5"/>
                <c:pt idx="0">
                  <c:v>2.2999999999999998</c:v>
                </c:pt>
                <c:pt idx="1">
                  <c:v>32.1</c:v>
                </c:pt>
                <c:pt idx="2">
                  <c:v>31.3</c:v>
                </c:pt>
                <c:pt idx="3">
                  <c:v>23.2</c:v>
                </c:pt>
                <c:pt idx="4">
                  <c:v>11.1</c:v>
                </c:pt>
              </c:numCache>
            </c:numRef>
          </c:val>
        </c:ser>
        <c:dLbls>
          <c:showVal val="1"/>
        </c:dLbls>
        <c:gapWidth val="70"/>
        <c:gapDepth val="0"/>
        <c:shape val="box"/>
        <c:axId val="118402048"/>
        <c:axId val="118702848"/>
        <c:axId val="0"/>
      </c:bar3DChart>
      <c:catAx>
        <c:axId val="118402048"/>
        <c:scaling>
          <c:orientation val="maxMin"/>
        </c:scaling>
        <c:axPos val="l"/>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Tahoma"/>
                <a:ea typeface="Tahoma"/>
                <a:cs typeface="Tahoma"/>
              </a:defRPr>
            </a:pPr>
            <a:endParaRPr lang="el-GR"/>
          </a:p>
        </c:txPr>
        <c:crossAx val="118702848"/>
        <c:crosses val="autoZero"/>
        <c:auto val="1"/>
        <c:lblAlgn val="ctr"/>
        <c:lblOffset val="100"/>
        <c:tickLblSkip val="1"/>
        <c:tickMarkSkip val="1"/>
      </c:catAx>
      <c:valAx>
        <c:axId val="118702848"/>
        <c:scaling>
          <c:orientation val="minMax"/>
          <c:max val="50"/>
          <c:min val="0"/>
        </c:scaling>
        <c:axPos val="b"/>
        <c:numFmt formatCode="General" sourceLinked="1"/>
        <c:tickLblPos val="nextTo"/>
        <c:spPr>
          <a:ln w="3175">
            <a:solidFill>
              <a:srgbClr val="000000"/>
            </a:solidFill>
            <a:prstDash val="solid"/>
          </a:ln>
        </c:spPr>
        <c:txPr>
          <a:bodyPr rot="0" vert="horz"/>
          <a:lstStyle/>
          <a:p>
            <a:pPr>
              <a:defRPr sz="700" b="1" i="0" u="none" strike="noStrike" baseline="0">
                <a:solidFill>
                  <a:srgbClr val="000000"/>
                </a:solidFill>
                <a:latin typeface="Times New Roman"/>
                <a:ea typeface="Times New Roman"/>
                <a:cs typeface="Times New Roman"/>
              </a:defRPr>
            </a:pPr>
            <a:endParaRPr lang="el-GR"/>
          </a:p>
        </c:txPr>
        <c:crossAx val="118402048"/>
        <c:crosses val="max"/>
        <c:crossBetween val="between"/>
      </c:valAx>
      <c:spPr>
        <a:noFill/>
        <a:ln w="25400">
          <a:noFill/>
        </a:ln>
      </c:spPr>
    </c:plotArea>
    <c:plotVisOnly val="1"/>
    <c:dispBlanksAs val="gap"/>
  </c:chart>
  <c:spPr>
    <a:noFill/>
    <a:ln>
      <a:noFill/>
    </a:ln>
  </c:spPr>
  <c:txPr>
    <a:bodyPr/>
    <a:lstStyle/>
    <a:p>
      <a:pPr>
        <a:defRPr sz="2125" b="1" i="0" u="none" strike="noStrike" baseline="0">
          <a:solidFill>
            <a:srgbClr val="000000"/>
          </a:solidFill>
          <a:latin typeface="Times New Roman"/>
          <a:ea typeface="Times New Roman"/>
          <a:cs typeface="Times New Roman"/>
        </a:defRPr>
      </a:pPr>
      <a:endParaRPr lang="el-GR"/>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lang val="el-GR"/>
  <c:chart>
    <c:view3D>
      <c:perspective val="0"/>
    </c:view3D>
    <c:plotArea>
      <c:layout>
        <c:manualLayout>
          <c:layoutTarget val="inner"/>
          <c:xMode val="edge"/>
          <c:yMode val="edge"/>
          <c:x val="9.4936708860759528E-2"/>
          <c:y val="0.14642857142857138"/>
          <c:w val="0.75632911392405111"/>
          <c:h val="0.67857142857142905"/>
        </c:manualLayout>
      </c:layout>
      <c:pie3DChart>
        <c:varyColors val="1"/>
        <c:ser>
          <c:idx val="0"/>
          <c:order val="0"/>
          <c:spPr>
            <a:solidFill>
              <a:schemeClr val="accent1"/>
            </a:solidFill>
            <a:ln w="11809">
              <a:solidFill>
                <a:schemeClr val="tx1"/>
              </a:solidFill>
              <a:prstDash val="solid"/>
            </a:ln>
          </c:spPr>
          <c:dPt>
            <c:idx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1"/>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dPt>
          <c:dPt>
            <c:idx val="2"/>
            <c:spPr>
              <a:solidFill>
                <a:schemeClr val="bg2">
                  <a:lumMod val="90000"/>
                </a:schemeClr>
              </a:solidFill>
              <a:ln w="11809">
                <a:solidFill>
                  <a:schemeClr val="bg2">
                    <a:lumMod val="90000"/>
                  </a:schemeClr>
                </a:solidFill>
                <a:prstDash val="solid"/>
              </a:ln>
            </c:spPr>
          </c:dPt>
          <c:dLbls>
            <c:dLbl>
              <c:idx val="0"/>
              <c:layout>
                <c:manualLayout>
                  <c:x val="-2.9523319078431809E-2"/>
                  <c:y val="-8.8798810849982285E-2"/>
                </c:manualLayout>
              </c:layout>
              <c:dLblPos val="bestFit"/>
              <c:showCatName val="1"/>
              <c:showPercent val="1"/>
            </c:dLbl>
            <c:dLbl>
              <c:idx val="2"/>
              <c:layout>
                <c:manualLayout>
                  <c:x val="4.130773184546124E-3"/>
                  <c:y val="-4.73110542559372E-2"/>
                </c:manualLayout>
              </c:layout>
              <c:dLblPos val="bestFit"/>
              <c:showCatName val="1"/>
              <c:showPercent val="1"/>
            </c:dLbl>
            <c:dLbl>
              <c:idx val="3"/>
              <c:delete val="1"/>
            </c:dLbl>
            <c:numFmt formatCode="0.0%" sourceLinked="0"/>
            <c:txPr>
              <a:bodyPr/>
              <a:lstStyle/>
              <a:p>
                <a:pPr>
                  <a:defRPr sz="1000" b="1" i="0" u="none" strike="noStrike" baseline="0">
                    <a:solidFill>
                      <a:srgbClr val="000000"/>
                    </a:solidFill>
                    <a:latin typeface="Tahoma"/>
                    <a:ea typeface="Tahoma"/>
                    <a:cs typeface="Tahoma"/>
                  </a:defRPr>
                </a:pPr>
                <a:endParaRPr lang="el-GR"/>
              </a:p>
            </c:txPr>
            <c:dLblPos val="outEnd"/>
            <c:showCatName val="1"/>
            <c:showPercent val="1"/>
          </c:dLbls>
          <c:cat>
            <c:strRef>
              <c:f>Sheet1!$B$1:$D$1</c:f>
              <c:strCache>
                <c:ptCount val="3"/>
                <c:pt idx="0">
                  <c:v>Ναι</c:v>
                </c:pt>
                <c:pt idx="1">
                  <c:v>Όχι</c:v>
                </c:pt>
                <c:pt idx="2">
                  <c:v>Δ Α</c:v>
                </c:pt>
              </c:strCache>
            </c:strRef>
          </c:cat>
          <c:val>
            <c:numRef>
              <c:f>Sheet1!$B$2:$D$2</c:f>
              <c:numCache>
                <c:formatCode>General</c:formatCode>
                <c:ptCount val="3"/>
                <c:pt idx="0">
                  <c:v>30.9</c:v>
                </c:pt>
                <c:pt idx="1">
                  <c:v>67.2</c:v>
                </c:pt>
                <c:pt idx="2">
                  <c:v>1.9000000000000001</c:v>
                </c:pt>
              </c:numCache>
            </c:numRef>
          </c:val>
        </c:ser>
        <c:dLbls>
          <c:showCatName val="1"/>
          <c:showPercent val="1"/>
        </c:dLbls>
      </c:pie3DChart>
      <c:spPr>
        <a:noFill/>
        <a:ln w="25400">
          <a:noFill/>
        </a:ln>
      </c:spPr>
    </c:plotArea>
    <c:plotVisOnly val="1"/>
    <c:dispBlanksAs val="zero"/>
  </c:chart>
  <c:spPr>
    <a:noFill/>
    <a:ln>
      <a:noFill/>
    </a:ln>
  </c:spPr>
  <c:txPr>
    <a:bodyPr/>
    <a:lstStyle/>
    <a:p>
      <a:pPr>
        <a:defRPr sz="1370" b="1" i="0" u="none" strike="noStrike" baseline="0">
          <a:solidFill>
            <a:srgbClr val="000000"/>
          </a:solidFill>
          <a:latin typeface="Times New Roman"/>
          <a:ea typeface="Times New Roman"/>
          <a:cs typeface="Times New Roman"/>
        </a:defRPr>
      </a:pPr>
      <a:endParaRPr lang="el-GR"/>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cdr:x>
      <cdr:y>0</cdr:y>
    </cdr:from>
    <cdr:to>
      <cdr:x>1</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7000000" cy="3495238"/>
        </a:xfrm>
        <a:prstGeom xmlns:a="http://schemas.openxmlformats.org/drawingml/2006/main" prst="rect">
          <a:avLst/>
        </a:prstGeom>
      </cdr:spPr>
    </cdr:pic>
  </cdr:relSizeAnchor>
</c:userShape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AEA6A-012C-47C0-B6C5-F7A6068F5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1510</Words>
  <Characters>8157</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Δημήτρης Μπίμπας</dc:creator>
  <cp:lastModifiedBy>Kosmop</cp:lastModifiedBy>
  <cp:revision>5</cp:revision>
  <cp:lastPrinted>2015-01-13T09:33:00Z</cp:lastPrinted>
  <dcterms:created xsi:type="dcterms:W3CDTF">2015-01-13T09:52:00Z</dcterms:created>
  <dcterms:modified xsi:type="dcterms:W3CDTF">2015-01-14T09:54:00Z</dcterms:modified>
</cp:coreProperties>
</file>